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7FEB" w14:textId="77777777" w:rsidR="00617484" w:rsidRPr="00656781" w:rsidRDefault="00617484" w:rsidP="00617484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  <w:r w:rsidRPr="00656781">
        <w:rPr>
          <w:bCs/>
          <w:i/>
          <w:sz w:val="28"/>
          <w:szCs w:val="28"/>
          <w:u w:val="single"/>
          <w:lang w:val="en-GB"/>
        </w:rPr>
        <w:t>Check against delivery</w:t>
      </w:r>
    </w:p>
    <w:p w14:paraId="6B6F1EB4" w14:textId="77777777" w:rsidR="00617484" w:rsidRPr="00656781" w:rsidRDefault="00617484" w:rsidP="00617484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14:paraId="20F9D268" w14:textId="77777777" w:rsidR="00617484" w:rsidRPr="00656781" w:rsidRDefault="00617484" w:rsidP="00617484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14:paraId="2B09B2BA" w14:textId="77777777" w:rsidR="00617484" w:rsidRPr="00656781" w:rsidRDefault="00617484" w:rsidP="00617484">
      <w:pPr>
        <w:spacing w:line="360" w:lineRule="auto"/>
        <w:rPr>
          <w:b/>
          <w:sz w:val="28"/>
          <w:szCs w:val="28"/>
          <w:lang w:val="en-GB"/>
        </w:rPr>
      </w:pPr>
    </w:p>
    <w:p w14:paraId="2E1A6655" w14:textId="1A4D260A" w:rsidR="00617484" w:rsidRPr="00656781" w:rsidRDefault="00617484" w:rsidP="00617484">
      <w:pPr>
        <w:jc w:val="center"/>
        <w:rPr>
          <w:b/>
          <w:sz w:val="32"/>
          <w:szCs w:val="32"/>
          <w:lang w:val="en-GB"/>
        </w:rPr>
      </w:pPr>
      <w:r w:rsidRPr="00656781">
        <w:rPr>
          <w:b/>
          <w:sz w:val="32"/>
          <w:szCs w:val="32"/>
          <w:lang w:val="en-GB"/>
        </w:rPr>
        <w:t xml:space="preserve">Human Rights Council </w:t>
      </w:r>
      <w:r w:rsidR="00CA039D" w:rsidRPr="00656781">
        <w:rPr>
          <w:b/>
          <w:sz w:val="32"/>
          <w:szCs w:val="32"/>
          <w:lang w:val="en-GB"/>
        </w:rPr>
        <w:t>3</w:t>
      </w:r>
      <w:r w:rsidR="00F41F72">
        <w:rPr>
          <w:b/>
          <w:sz w:val="32"/>
          <w:szCs w:val="32"/>
          <w:lang w:val="en-GB"/>
        </w:rPr>
        <w:t>7</w:t>
      </w:r>
      <w:r w:rsidR="00D00B42" w:rsidRPr="00656781">
        <w:rPr>
          <w:b/>
          <w:sz w:val="32"/>
          <w:szCs w:val="32"/>
          <w:vertAlign w:val="superscript"/>
          <w:lang w:val="en-GB"/>
        </w:rPr>
        <w:t>th</w:t>
      </w:r>
      <w:r w:rsidR="00D00B42" w:rsidRPr="00656781">
        <w:rPr>
          <w:b/>
          <w:sz w:val="32"/>
          <w:szCs w:val="32"/>
          <w:lang w:val="en-GB"/>
        </w:rPr>
        <w:t xml:space="preserve"> </w:t>
      </w:r>
      <w:r w:rsidRPr="00656781">
        <w:rPr>
          <w:b/>
          <w:sz w:val="32"/>
          <w:szCs w:val="32"/>
          <w:lang w:val="en-GB"/>
        </w:rPr>
        <w:t>Session</w:t>
      </w:r>
    </w:p>
    <w:p w14:paraId="45D49FC6" w14:textId="77777777" w:rsidR="00617484" w:rsidRPr="00656781" w:rsidRDefault="00617484" w:rsidP="00617484">
      <w:pPr>
        <w:jc w:val="center"/>
        <w:rPr>
          <w:b/>
          <w:sz w:val="32"/>
          <w:szCs w:val="32"/>
          <w:lang w:val="en-GB"/>
        </w:rPr>
      </w:pPr>
    </w:p>
    <w:p w14:paraId="0902410E" w14:textId="77777777" w:rsidR="00617484" w:rsidRPr="00656781" w:rsidRDefault="00617484" w:rsidP="00617484">
      <w:pPr>
        <w:jc w:val="center"/>
        <w:rPr>
          <w:b/>
          <w:sz w:val="32"/>
          <w:szCs w:val="32"/>
          <w:lang w:val="en-GB"/>
        </w:rPr>
      </w:pPr>
    </w:p>
    <w:p w14:paraId="36866C8F" w14:textId="77777777" w:rsidR="00617484" w:rsidRPr="00656781" w:rsidRDefault="00617484" w:rsidP="00617484">
      <w:pPr>
        <w:jc w:val="center"/>
        <w:rPr>
          <w:b/>
          <w:sz w:val="32"/>
          <w:szCs w:val="32"/>
          <w:lang w:val="en-GB"/>
        </w:rPr>
      </w:pPr>
      <w:r w:rsidRPr="00656781">
        <w:rPr>
          <w:b/>
          <w:sz w:val="32"/>
          <w:szCs w:val="32"/>
          <w:lang w:val="en-GB"/>
        </w:rPr>
        <w:t>Agenda Item 7</w:t>
      </w:r>
    </w:p>
    <w:p w14:paraId="5DFF85CF" w14:textId="77777777" w:rsidR="00617484" w:rsidRPr="00656781" w:rsidRDefault="00617484" w:rsidP="00617484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14:paraId="2EBD4A90" w14:textId="77777777" w:rsidR="00617484" w:rsidRPr="00656781" w:rsidRDefault="00617484" w:rsidP="00617484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14:paraId="2EE25386" w14:textId="77777777" w:rsidR="00617484" w:rsidRPr="00656781" w:rsidRDefault="00617484" w:rsidP="00617484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14:paraId="3BAB1405" w14:textId="77777777" w:rsidR="00617484" w:rsidRPr="00656781" w:rsidRDefault="00617484" w:rsidP="00617484">
      <w:pPr>
        <w:spacing w:line="360" w:lineRule="auto"/>
        <w:jc w:val="right"/>
        <w:rPr>
          <w:bCs/>
          <w:sz w:val="28"/>
          <w:szCs w:val="28"/>
          <w:u w:val="single"/>
          <w:lang w:val="en-GB"/>
        </w:rPr>
      </w:pPr>
    </w:p>
    <w:p w14:paraId="2D2BE394" w14:textId="77777777" w:rsidR="00617484" w:rsidRPr="00656781" w:rsidRDefault="00617484" w:rsidP="00617484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  <w:r w:rsidRPr="00656781">
        <w:rPr>
          <w:noProof/>
          <w:lang w:eastAsia="en-US"/>
        </w:rPr>
        <w:drawing>
          <wp:inline distT="0" distB="0" distL="0" distR="0" wp14:anchorId="23F39376" wp14:editId="526CD70E">
            <wp:extent cx="3103880" cy="1429385"/>
            <wp:effectExtent l="0" t="0" r="0" b="0"/>
            <wp:docPr id="1" name="Picture 1" descr="Office_logo_EN_black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_logo_EN_black_SMALL_72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5D7D" w14:textId="77777777" w:rsidR="00617484" w:rsidRPr="00656781" w:rsidRDefault="00617484" w:rsidP="00617484">
      <w:pPr>
        <w:spacing w:line="360" w:lineRule="auto"/>
        <w:rPr>
          <w:b/>
          <w:sz w:val="28"/>
          <w:szCs w:val="28"/>
          <w:lang w:val="en-GB"/>
        </w:rPr>
      </w:pPr>
    </w:p>
    <w:p w14:paraId="5FFD4B24" w14:textId="77777777" w:rsidR="00617484" w:rsidRPr="00656781" w:rsidRDefault="00617484" w:rsidP="00617484">
      <w:pPr>
        <w:spacing w:line="360" w:lineRule="auto"/>
        <w:rPr>
          <w:b/>
          <w:sz w:val="28"/>
          <w:szCs w:val="28"/>
          <w:lang w:val="en-GB"/>
        </w:rPr>
      </w:pPr>
    </w:p>
    <w:p w14:paraId="13388FE7" w14:textId="77777777" w:rsidR="00617484" w:rsidRPr="00656781" w:rsidRDefault="00617484" w:rsidP="00617484">
      <w:pPr>
        <w:spacing w:line="360" w:lineRule="auto"/>
        <w:jc w:val="center"/>
        <w:rPr>
          <w:bCs/>
          <w:sz w:val="32"/>
          <w:szCs w:val="32"/>
          <w:lang w:val="en-GB"/>
        </w:rPr>
      </w:pPr>
    </w:p>
    <w:p w14:paraId="7BF55300" w14:textId="77777777" w:rsidR="00617484" w:rsidRPr="00656781" w:rsidRDefault="00617484" w:rsidP="00617484">
      <w:pPr>
        <w:spacing w:line="360" w:lineRule="auto"/>
        <w:jc w:val="center"/>
        <w:rPr>
          <w:bCs/>
          <w:sz w:val="32"/>
          <w:szCs w:val="32"/>
          <w:lang w:val="en-GB"/>
        </w:rPr>
      </w:pPr>
    </w:p>
    <w:p w14:paraId="0D7E2F26" w14:textId="77777777" w:rsidR="00617484" w:rsidRPr="00656781" w:rsidRDefault="00617484" w:rsidP="00617484">
      <w:pPr>
        <w:spacing w:line="360" w:lineRule="auto"/>
        <w:jc w:val="center"/>
        <w:rPr>
          <w:bCs/>
          <w:sz w:val="32"/>
          <w:szCs w:val="32"/>
          <w:lang w:val="en-GB"/>
        </w:rPr>
      </w:pPr>
    </w:p>
    <w:p w14:paraId="3CE379EE" w14:textId="77777777" w:rsidR="00617484" w:rsidRPr="00656781" w:rsidRDefault="00617484" w:rsidP="00320324">
      <w:pPr>
        <w:ind w:right="-192"/>
        <w:jc w:val="center"/>
        <w:rPr>
          <w:b/>
          <w:sz w:val="32"/>
          <w:szCs w:val="32"/>
          <w:lang w:val="en-GB"/>
        </w:rPr>
      </w:pPr>
      <w:r w:rsidRPr="00656781">
        <w:rPr>
          <w:b/>
          <w:sz w:val="32"/>
          <w:szCs w:val="32"/>
          <w:lang w:val="en-GB"/>
        </w:rPr>
        <w:t xml:space="preserve">Introductory remarks by </w:t>
      </w:r>
    </w:p>
    <w:p w14:paraId="7DC970FB" w14:textId="77777777" w:rsidR="00617484" w:rsidRPr="00656781" w:rsidRDefault="00617484" w:rsidP="00320324">
      <w:pPr>
        <w:ind w:right="-192"/>
        <w:jc w:val="center"/>
        <w:rPr>
          <w:b/>
          <w:sz w:val="32"/>
          <w:szCs w:val="32"/>
          <w:lang w:val="en-GB"/>
        </w:rPr>
      </w:pPr>
      <w:r w:rsidRPr="00656781">
        <w:rPr>
          <w:b/>
          <w:sz w:val="32"/>
          <w:szCs w:val="32"/>
          <w:lang w:val="en-GB"/>
        </w:rPr>
        <w:t>M</w:t>
      </w:r>
      <w:r w:rsidR="00E65BA9" w:rsidRPr="00656781">
        <w:rPr>
          <w:b/>
          <w:sz w:val="32"/>
          <w:szCs w:val="32"/>
          <w:lang w:val="en-GB"/>
        </w:rPr>
        <w:t>s.</w:t>
      </w:r>
      <w:r w:rsidRPr="00656781">
        <w:rPr>
          <w:b/>
          <w:sz w:val="32"/>
          <w:szCs w:val="32"/>
          <w:lang w:val="en-GB"/>
        </w:rPr>
        <w:t xml:space="preserve"> </w:t>
      </w:r>
      <w:r w:rsidR="000C3ABB" w:rsidRPr="00656781">
        <w:rPr>
          <w:b/>
          <w:sz w:val="32"/>
          <w:szCs w:val="32"/>
          <w:lang w:val="en-GB"/>
        </w:rPr>
        <w:t>Kate Gilmore</w:t>
      </w:r>
      <w:r w:rsidRPr="00656781">
        <w:rPr>
          <w:b/>
          <w:sz w:val="32"/>
          <w:szCs w:val="32"/>
          <w:lang w:val="en-GB"/>
        </w:rPr>
        <w:t xml:space="preserve"> </w:t>
      </w:r>
    </w:p>
    <w:p w14:paraId="34003F00" w14:textId="77777777" w:rsidR="00617484" w:rsidRPr="00656781" w:rsidRDefault="00E65BA9" w:rsidP="00320324">
      <w:pPr>
        <w:ind w:right="-192"/>
        <w:jc w:val="center"/>
        <w:rPr>
          <w:sz w:val="32"/>
          <w:szCs w:val="32"/>
          <w:lang w:val="en-GB"/>
        </w:rPr>
      </w:pPr>
      <w:r w:rsidRPr="00656781">
        <w:rPr>
          <w:b/>
          <w:sz w:val="32"/>
          <w:szCs w:val="32"/>
          <w:lang w:val="en-GB"/>
        </w:rPr>
        <w:t xml:space="preserve">Deputy </w:t>
      </w:r>
      <w:r w:rsidR="00617484" w:rsidRPr="00656781">
        <w:rPr>
          <w:b/>
          <w:sz w:val="32"/>
          <w:szCs w:val="32"/>
          <w:lang w:val="en-GB"/>
        </w:rPr>
        <w:t>High Commissioner for Human Rights</w:t>
      </w:r>
    </w:p>
    <w:p w14:paraId="087DB98C" w14:textId="77777777" w:rsidR="00617484" w:rsidRPr="00656781" w:rsidRDefault="00617484" w:rsidP="00617484">
      <w:pPr>
        <w:spacing w:line="360" w:lineRule="auto"/>
        <w:jc w:val="center"/>
        <w:rPr>
          <w:sz w:val="32"/>
          <w:szCs w:val="32"/>
          <w:lang w:val="en-GB"/>
        </w:rPr>
      </w:pPr>
    </w:p>
    <w:p w14:paraId="5A43DB77" w14:textId="77777777" w:rsidR="00617484" w:rsidRPr="00656781" w:rsidRDefault="00617484" w:rsidP="00617484">
      <w:pPr>
        <w:spacing w:line="360" w:lineRule="auto"/>
        <w:jc w:val="center"/>
        <w:rPr>
          <w:sz w:val="32"/>
          <w:szCs w:val="32"/>
          <w:lang w:val="en-GB"/>
        </w:rPr>
      </w:pPr>
    </w:p>
    <w:p w14:paraId="7847597D" w14:textId="77777777" w:rsidR="00617484" w:rsidRPr="00656781" w:rsidRDefault="00617484" w:rsidP="00617484">
      <w:pPr>
        <w:spacing w:line="360" w:lineRule="auto"/>
        <w:jc w:val="center"/>
        <w:rPr>
          <w:sz w:val="32"/>
          <w:szCs w:val="32"/>
          <w:lang w:val="en-GB"/>
        </w:rPr>
      </w:pPr>
    </w:p>
    <w:p w14:paraId="64411AE0" w14:textId="036B6F80" w:rsidR="00617484" w:rsidRPr="00656781" w:rsidRDefault="00617484" w:rsidP="00617484">
      <w:pPr>
        <w:jc w:val="center"/>
        <w:rPr>
          <w:lang w:val="en-GB"/>
        </w:rPr>
      </w:pPr>
      <w:r w:rsidRPr="00656781">
        <w:rPr>
          <w:b/>
          <w:sz w:val="32"/>
          <w:szCs w:val="32"/>
          <w:lang w:val="en-GB"/>
        </w:rPr>
        <w:t xml:space="preserve">Geneva, </w:t>
      </w:r>
      <w:r w:rsidR="005908DC">
        <w:rPr>
          <w:b/>
          <w:sz w:val="32"/>
          <w:szCs w:val="32"/>
          <w:lang w:val="en-GB"/>
        </w:rPr>
        <w:t>20</w:t>
      </w:r>
      <w:r w:rsidR="00D00B42" w:rsidRPr="00656781">
        <w:rPr>
          <w:b/>
          <w:sz w:val="32"/>
          <w:szCs w:val="32"/>
          <w:lang w:val="en-GB"/>
        </w:rPr>
        <w:t xml:space="preserve"> </w:t>
      </w:r>
      <w:r w:rsidRPr="00656781">
        <w:rPr>
          <w:b/>
          <w:sz w:val="32"/>
          <w:szCs w:val="32"/>
          <w:lang w:val="en-GB"/>
        </w:rPr>
        <w:t>March 201</w:t>
      </w:r>
      <w:r w:rsidR="00F41F72">
        <w:rPr>
          <w:b/>
          <w:sz w:val="32"/>
          <w:szCs w:val="32"/>
          <w:lang w:val="en-GB"/>
        </w:rPr>
        <w:t>8</w:t>
      </w:r>
    </w:p>
    <w:p w14:paraId="30B0F6FE" w14:textId="77777777" w:rsidR="00617484" w:rsidRPr="00656781" w:rsidRDefault="00617484" w:rsidP="00894245">
      <w:pPr>
        <w:spacing w:line="360" w:lineRule="auto"/>
        <w:jc w:val="center"/>
        <w:rPr>
          <w:b/>
          <w:bCs/>
          <w:lang w:val="en-GB"/>
        </w:rPr>
      </w:pPr>
    </w:p>
    <w:p w14:paraId="10002C2B" w14:textId="0E067F97" w:rsidR="00BD5C16" w:rsidRPr="0031054D" w:rsidRDefault="00BD5C16" w:rsidP="0031054D">
      <w:pPr>
        <w:spacing w:line="360" w:lineRule="auto"/>
        <w:rPr>
          <w:sz w:val="28"/>
          <w:szCs w:val="28"/>
          <w:lang w:val="en-GB"/>
        </w:rPr>
      </w:pPr>
    </w:p>
    <w:p w14:paraId="71AB2271" w14:textId="2A5987AB" w:rsidR="00BD5C16" w:rsidRPr="00AF3C10" w:rsidRDefault="00BD5C16" w:rsidP="00AF3C10">
      <w:r w:rsidRPr="00AF3C10">
        <w:t xml:space="preserve">Distinguished </w:t>
      </w:r>
      <w:r w:rsidR="00EA7662" w:rsidRPr="00AF3C10">
        <w:t xml:space="preserve">President </w:t>
      </w:r>
      <w:r w:rsidRPr="00AF3C10">
        <w:t>of the Human Rights Council,</w:t>
      </w:r>
    </w:p>
    <w:p w14:paraId="4D554B6D" w14:textId="77777777" w:rsidR="00BD5C16" w:rsidRPr="00AF3C10" w:rsidRDefault="00BD5C16" w:rsidP="00AF3C10">
      <w:proofErr w:type="spellStart"/>
      <w:r w:rsidRPr="00AF3C10">
        <w:t>Excellencies</w:t>
      </w:r>
      <w:proofErr w:type="spellEnd"/>
      <w:r w:rsidRPr="00AF3C10">
        <w:t>,</w:t>
      </w:r>
    </w:p>
    <w:p w14:paraId="5C3B7089" w14:textId="47B66D5C" w:rsidR="00BD5C16" w:rsidRPr="00AF3C10" w:rsidRDefault="00EA7662" w:rsidP="00AF3C10">
      <w:r w:rsidRPr="00AF3C10">
        <w:t>Colleagues and friends,</w:t>
      </w:r>
    </w:p>
    <w:p w14:paraId="6F590CBC" w14:textId="77777777" w:rsidR="00BD5C16" w:rsidRPr="00AF3C10" w:rsidRDefault="00BD5C16" w:rsidP="00AF3C10"/>
    <w:p w14:paraId="1F3856E0" w14:textId="75FEF1FE" w:rsidR="007A5DBE" w:rsidRDefault="00617484" w:rsidP="007A5DBE">
      <w:r w:rsidRPr="00AF3C10">
        <w:tab/>
      </w:r>
      <w:r w:rsidR="0042193B" w:rsidRPr="00AF3C10">
        <w:t xml:space="preserve">On behalf of </w:t>
      </w:r>
      <w:r w:rsidR="00B35000">
        <w:t xml:space="preserve">and the Secretary-General and </w:t>
      </w:r>
      <w:r w:rsidR="0042193B" w:rsidRPr="00AF3C10">
        <w:t xml:space="preserve">the High Commissioner, </w:t>
      </w:r>
      <w:r w:rsidR="00B35000">
        <w:t>it is my responsibility</w:t>
      </w:r>
      <w:r w:rsidR="00BD5C16" w:rsidRPr="00AF3C10">
        <w:t xml:space="preserve"> to </w:t>
      </w:r>
      <w:r w:rsidR="003773CC" w:rsidRPr="00AF3C10">
        <w:t xml:space="preserve">introduce </w:t>
      </w:r>
      <w:r w:rsidR="00AF3C10" w:rsidRPr="00D62821">
        <w:rPr>
          <w:b/>
        </w:rPr>
        <w:t xml:space="preserve">six </w:t>
      </w:r>
      <w:r w:rsidR="00BD5C16" w:rsidRPr="00D62821">
        <w:rPr>
          <w:b/>
        </w:rPr>
        <w:t>reports</w:t>
      </w:r>
      <w:r w:rsidR="00BD5C16" w:rsidRPr="00AF3C10">
        <w:t xml:space="preserve"> under </w:t>
      </w:r>
      <w:r w:rsidR="00B35000">
        <w:t xml:space="preserve">the Council’s </w:t>
      </w:r>
      <w:r w:rsidR="00BD5C16" w:rsidRPr="00AF3C10">
        <w:t>agenda item 7</w:t>
      </w:r>
      <w:r w:rsidR="00D00B42" w:rsidRPr="00AF3C10">
        <w:t xml:space="preserve">, concerning the human rights situation in </w:t>
      </w:r>
      <w:r w:rsidR="00A03052">
        <w:t>the o</w:t>
      </w:r>
      <w:r w:rsidR="00E631B7" w:rsidRPr="00AF3C10">
        <w:t xml:space="preserve">ccupied </w:t>
      </w:r>
      <w:r w:rsidR="00D00B42" w:rsidRPr="00AF3C10">
        <w:t>Palestin</w:t>
      </w:r>
      <w:r w:rsidR="00E631B7" w:rsidRPr="00AF3C10">
        <w:t xml:space="preserve">ian </w:t>
      </w:r>
      <w:r w:rsidR="00A03052">
        <w:t>t</w:t>
      </w:r>
      <w:r w:rsidR="00E631B7" w:rsidRPr="00AF3C10">
        <w:t xml:space="preserve">erritory </w:t>
      </w:r>
      <w:r w:rsidR="00AF3C10">
        <w:t xml:space="preserve">(OPT) </w:t>
      </w:r>
      <w:r w:rsidR="00D00B42" w:rsidRPr="00AF3C10">
        <w:t>and other occupied Arab territories</w:t>
      </w:r>
      <w:r w:rsidR="00BD5C16" w:rsidRPr="00AF3C10">
        <w:t xml:space="preserve">. </w:t>
      </w:r>
    </w:p>
    <w:p w14:paraId="6DCFD848" w14:textId="77777777" w:rsidR="007A5DBE" w:rsidRDefault="007A5DBE" w:rsidP="007A5DBE"/>
    <w:p w14:paraId="464A87C0" w14:textId="67AAFF24" w:rsidR="00F81183" w:rsidRPr="00AF3C10" w:rsidRDefault="00B35000" w:rsidP="007A5DBE">
      <w:pPr>
        <w:ind w:firstLine="720"/>
      </w:pPr>
      <w:r>
        <w:t>In the</w:t>
      </w:r>
      <w:r w:rsidR="00BC20FE" w:rsidRPr="00AF3C10">
        <w:t xml:space="preserve"> relevant</w:t>
      </w:r>
      <w:r>
        <w:t xml:space="preserve"> instances</w:t>
      </w:r>
      <w:r w:rsidR="00BC20FE" w:rsidRPr="00AF3C10">
        <w:t>, these reports draw</w:t>
      </w:r>
      <w:r>
        <w:t xml:space="preserve"> largely on the systematic and impartial</w:t>
      </w:r>
      <w:r w:rsidR="00BC20FE" w:rsidRPr="00AF3C10">
        <w:t xml:space="preserve"> human rights monitoring work undertaken by</w:t>
      </w:r>
      <w:r w:rsidR="00AF3C10">
        <w:t xml:space="preserve"> our office</w:t>
      </w:r>
      <w:r w:rsidR="005908DC">
        <w:t xml:space="preserve"> in the </w:t>
      </w:r>
      <w:r w:rsidR="00A03052">
        <w:t>o</w:t>
      </w:r>
      <w:r w:rsidR="005908DC">
        <w:t xml:space="preserve">ccupied Palestinian </w:t>
      </w:r>
      <w:r w:rsidR="00A03052">
        <w:t>t</w:t>
      </w:r>
      <w:r w:rsidR="002A5219">
        <w:t>erritory</w:t>
      </w:r>
      <w:r w:rsidR="00BC20FE" w:rsidRPr="00AF3C10">
        <w:t>.</w:t>
      </w:r>
    </w:p>
    <w:p w14:paraId="3446A98B" w14:textId="77777777" w:rsidR="00F81183" w:rsidRPr="00AF3C10" w:rsidRDefault="00F81183" w:rsidP="00AF3C10">
      <w:r w:rsidRPr="00AF3C10">
        <w:tab/>
      </w:r>
    </w:p>
    <w:p w14:paraId="1999A91E" w14:textId="77777777" w:rsidR="00B35000" w:rsidRDefault="00006E1E" w:rsidP="00C54DB0">
      <w:pPr>
        <w:ind w:firstLine="720"/>
      </w:pPr>
      <w:r w:rsidRPr="00AF3C10">
        <w:t xml:space="preserve">In accordance with </w:t>
      </w:r>
      <w:r w:rsidR="00AF3C10" w:rsidRPr="00AF3C10">
        <w:t xml:space="preserve">your </w:t>
      </w:r>
      <w:r w:rsidRPr="00AF3C10">
        <w:t xml:space="preserve">resolution </w:t>
      </w:r>
      <w:r w:rsidR="00F41F72" w:rsidRPr="00AF3C10">
        <w:t>34/</w:t>
      </w:r>
      <w:r w:rsidR="000F1D42" w:rsidRPr="00AF3C10">
        <w:t>30</w:t>
      </w:r>
      <w:r w:rsidR="000C4AAE" w:rsidRPr="00AF3C10">
        <w:t xml:space="preserve">, the </w:t>
      </w:r>
      <w:r w:rsidR="00AF3C10" w:rsidRPr="00B35000">
        <w:rPr>
          <w:b/>
        </w:rPr>
        <w:t>first report</w:t>
      </w:r>
      <w:r w:rsidR="002A5219">
        <w:t xml:space="preserve"> is on </w:t>
      </w:r>
      <w:r w:rsidR="00AF3C10">
        <w:t xml:space="preserve">the human rights situation in the OPT </w:t>
      </w:r>
      <w:r w:rsidR="00E3066F">
        <w:t>(A/HRC/</w:t>
      </w:r>
      <w:r w:rsidR="00E3066F" w:rsidRPr="00B13508">
        <w:rPr>
          <w:b/>
        </w:rPr>
        <w:t>37/42</w:t>
      </w:r>
      <w:r w:rsidR="00AF3C10">
        <w:t xml:space="preserve">) </w:t>
      </w:r>
      <w:r w:rsidR="002A5219">
        <w:t xml:space="preserve">and </w:t>
      </w:r>
      <w:r w:rsidR="000F1D42" w:rsidRPr="00AF3C10">
        <w:t xml:space="preserve">focuses on the </w:t>
      </w:r>
      <w:r w:rsidR="00BB1754" w:rsidRPr="00AF3C10">
        <w:t xml:space="preserve">issue </w:t>
      </w:r>
      <w:r w:rsidR="000F1D42" w:rsidRPr="00AF3C10">
        <w:t xml:space="preserve">of </w:t>
      </w:r>
      <w:r w:rsidR="000F1D42" w:rsidRPr="00AF3C10">
        <w:rPr>
          <w:b/>
        </w:rPr>
        <w:t>arbitrary detenti</w:t>
      </w:r>
      <w:r w:rsidR="000F1D42" w:rsidRPr="007A5DBE">
        <w:rPr>
          <w:b/>
        </w:rPr>
        <w:t>o</w:t>
      </w:r>
      <w:r w:rsidR="00B45507" w:rsidRPr="007A5DBE">
        <w:rPr>
          <w:b/>
        </w:rPr>
        <w:t>n</w:t>
      </w:r>
      <w:r w:rsidR="00B45507">
        <w:t xml:space="preserve">. </w:t>
      </w:r>
    </w:p>
    <w:p w14:paraId="23336CE4" w14:textId="77777777" w:rsidR="00B35000" w:rsidRDefault="00B35000" w:rsidP="00C54DB0">
      <w:pPr>
        <w:ind w:firstLine="720"/>
      </w:pPr>
    </w:p>
    <w:p w14:paraId="068EFF6B" w14:textId="77777777" w:rsidR="00B35000" w:rsidRDefault="00B45507" w:rsidP="00C54DB0">
      <w:pPr>
        <w:ind w:firstLine="720"/>
      </w:pPr>
      <w:r>
        <w:t>This report</w:t>
      </w:r>
      <w:r w:rsidR="000F1D42" w:rsidRPr="00AF3C10">
        <w:t xml:space="preserve"> was prepared in consultation with </w:t>
      </w:r>
      <w:r w:rsidR="000F1D42" w:rsidRPr="00B35000">
        <w:rPr>
          <w:i/>
        </w:rPr>
        <w:t>the Working Group on Arbitrary Detention</w:t>
      </w:r>
      <w:r w:rsidR="000C4AAE" w:rsidRPr="00B35000">
        <w:rPr>
          <w:i/>
        </w:rPr>
        <w:t>.</w:t>
      </w:r>
      <w:r w:rsidR="000C4AAE" w:rsidRPr="00AF3C10">
        <w:t xml:space="preserve"> </w:t>
      </w:r>
      <w:r w:rsidR="00BC20FE" w:rsidRPr="00AF3C10">
        <w:t>T</w:t>
      </w:r>
      <w:r w:rsidR="008144E4" w:rsidRPr="00AF3C10">
        <w:t xml:space="preserve">he report </w:t>
      </w:r>
      <w:r w:rsidR="009769CA" w:rsidRPr="00AF3C10">
        <w:t>describes</w:t>
      </w:r>
      <w:r w:rsidR="0038368A" w:rsidRPr="00AF3C10">
        <w:t xml:space="preserve"> </w:t>
      </w:r>
      <w:r w:rsidR="00B35000">
        <w:t xml:space="preserve">the </w:t>
      </w:r>
      <w:r w:rsidR="0038368A" w:rsidRPr="00AF3C10">
        <w:t xml:space="preserve">factors perpetuating the arbitrary detention of Palestinian prisoners and detainees in Israeli </w:t>
      </w:r>
      <w:r w:rsidR="008144E4" w:rsidRPr="00AF3C10">
        <w:t>jails, as well as the</w:t>
      </w:r>
      <w:r w:rsidR="0038368A" w:rsidRPr="00AF3C10">
        <w:t xml:space="preserve"> practice of arbitrary detention by the Palestinian authorities in the West Bank and Gaza.</w:t>
      </w:r>
      <w:r w:rsidR="008144E4" w:rsidRPr="00AF3C10">
        <w:t xml:space="preserve">  </w:t>
      </w:r>
    </w:p>
    <w:p w14:paraId="31B0EE5E" w14:textId="77777777" w:rsidR="00B35000" w:rsidRDefault="00B35000" w:rsidP="00C54DB0">
      <w:pPr>
        <w:ind w:firstLine="720"/>
      </w:pPr>
    </w:p>
    <w:p w14:paraId="21C71286" w14:textId="2B1ABDEB" w:rsidR="00B13508" w:rsidRDefault="00B1653C" w:rsidP="00C54DB0">
      <w:pPr>
        <w:ind w:firstLine="720"/>
      </w:pPr>
      <w:r w:rsidRPr="00AF3C10">
        <w:t>T</w:t>
      </w:r>
      <w:r w:rsidR="008144E4" w:rsidRPr="00AF3C10">
        <w:t xml:space="preserve">he report </w:t>
      </w:r>
      <w:r w:rsidR="009769CA" w:rsidRPr="00AF3C10">
        <w:t>examines</w:t>
      </w:r>
      <w:r w:rsidR="008144E4" w:rsidRPr="00AF3C10">
        <w:t xml:space="preserve"> </w:t>
      </w:r>
      <w:r w:rsidR="009769CA" w:rsidRPr="00AF3C10">
        <w:t xml:space="preserve">cases of </w:t>
      </w:r>
      <w:r w:rsidR="0038368A" w:rsidRPr="00AF3C10">
        <w:t>detention without fair trial guarantees, including forms of administrative detention,</w:t>
      </w:r>
      <w:r w:rsidR="009769CA" w:rsidRPr="00AF3C10">
        <w:t xml:space="preserve"> as well as cases of</w:t>
      </w:r>
      <w:r w:rsidR="0038368A" w:rsidRPr="00AF3C10">
        <w:t xml:space="preserve"> those detained for</w:t>
      </w:r>
      <w:r w:rsidR="009769CA" w:rsidRPr="00AF3C10">
        <w:t xml:space="preserve"> exercising their fundamental rights</w:t>
      </w:r>
      <w:r w:rsidR="002A5219">
        <w:t xml:space="preserve">, such </w:t>
      </w:r>
      <w:r w:rsidR="009B3132">
        <w:t>as their right to freedom of</w:t>
      </w:r>
      <w:r w:rsidR="0038368A" w:rsidRPr="00AF3C10">
        <w:t xml:space="preserve"> opinion, </w:t>
      </w:r>
      <w:r w:rsidR="00C54DB0">
        <w:t xml:space="preserve">as human rights defenders, </w:t>
      </w:r>
      <w:r w:rsidR="00AF3C10">
        <w:t xml:space="preserve">or </w:t>
      </w:r>
      <w:r w:rsidR="0038368A" w:rsidRPr="00AF3C10">
        <w:t>because of their political affiliation</w:t>
      </w:r>
      <w:r w:rsidR="00B13508">
        <w:t xml:space="preserve">.  These </w:t>
      </w:r>
      <w:r w:rsidR="009B3132">
        <w:t xml:space="preserve">are </w:t>
      </w:r>
      <w:r w:rsidR="00B13508">
        <w:t xml:space="preserve">cases </w:t>
      </w:r>
      <w:r w:rsidR="009B3132">
        <w:t xml:space="preserve">of detention by </w:t>
      </w:r>
      <w:r w:rsidR="009B3132">
        <w:rPr>
          <w:color w:val="000000"/>
        </w:rPr>
        <w:t>either</w:t>
      </w:r>
      <w:r w:rsidR="00C54DB0">
        <w:rPr>
          <w:color w:val="000000"/>
        </w:rPr>
        <w:t xml:space="preserve"> Israel or the Palestinian authorities - or in some cases</w:t>
      </w:r>
      <w:r w:rsidR="009B3132">
        <w:rPr>
          <w:color w:val="000000"/>
        </w:rPr>
        <w:t>,</w:t>
      </w:r>
      <w:r w:rsidR="00C54DB0">
        <w:rPr>
          <w:color w:val="000000"/>
        </w:rPr>
        <w:t xml:space="preserve"> </w:t>
      </w:r>
      <w:r w:rsidR="009B3132">
        <w:rPr>
          <w:color w:val="000000"/>
        </w:rPr>
        <w:t xml:space="preserve">by </w:t>
      </w:r>
      <w:r w:rsidR="00C54DB0">
        <w:rPr>
          <w:color w:val="000000"/>
        </w:rPr>
        <w:t>both</w:t>
      </w:r>
      <w:r w:rsidR="0038368A" w:rsidRPr="00AF3C10">
        <w:t xml:space="preserve">. </w:t>
      </w:r>
    </w:p>
    <w:p w14:paraId="44785E32" w14:textId="77777777" w:rsidR="00B13508" w:rsidRDefault="00B13508" w:rsidP="00C54DB0">
      <w:pPr>
        <w:ind w:firstLine="720"/>
      </w:pPr>
    </w:p>
    <w:p w14:paraId="4E00CBE1" w14:textId="47A109B2" w:rsidR="00B13508" w:rsidRDefault="00B13508" w:rsidP="00C54DB0">
      <w:pPr>
        <w:ind w:firstLine="720"/>
      </w:pPr>
      <w:r w:rsidRPr="00AF3C10">
        <w:t xml:space="preserve">The report concludes that </w:t>
      </w:r>
      <w:r w:rsidR="009B3132" w:rsidRPr="00AF3C10">
        <w:t xml:space="preserve">currently </w:t>
      </w:r>
      <w:r w:rsidRPr="00AF3C10">
        <w:t xml:space="preserve">Palestinians are at high risk of being arbitrarily deprived of their liberty. </w:t>
      </w:r>
    </w:p>
    <w:p w14:paraId="2D4BB85D" w14:textId="77777777" w:rsidR="00B13508" w:rsidRDefault="00B13508" w:rsidP="00C54DB0">
      <w:pPr>
        <w:ind w:firstLine="720"/>
      </w:pPr>
    </w:p>
    <w:p w14:paraId="7C31511A" w14:textId="7A3B07C4" w:rsidR="0038368A" w:rsidRPr="00AF3C10" w:rsidRDefault="00B13508" w:rsidP="00C54DB0">
      <w:pPr>
        <w:ind w:firstLine="720"/>
      </w:pPr>
      <w:proofErr w:type="spellStart"/>
      <w:r>
        <w:t>Excellencies</w:t>
      </w:r>
      <w:proofErr w:type="spellEnd"/>
      <w:r>
        <w:t>, I must stress that t</w:t>
      </w:r>
      <w:r w:rsidR="00AF3C10">
        <w:t>he</w:t>
      </w:r>
      <w:r>
        <w:t xml:space="preserve"> cases of</w:t>
      </w:r>
      <w:r w:rsidR="0038368A" w:rsidRPr="00AF3C10">
        <w:t xml:space="preserve"> </w:t>
      </w:r>
      <w:r w:rsidR="00AF3C10">
        <w:t>continued</w:t>
      </w:r>
      <w:r w:rsidR="0038368A" w:rsidRPr="00AF3C10">
        <w:t xml:space="preserve"> arbitrary detention of children</w:t>
      </w:r>
      <w:r w:rsidR="00AF3C10">
        <w:t xml:space="preserve"> </w:t>
      </w:r>
      <w:r>
        <w:t>are</w:t>
      </w:r>
      <w:r w:rsidR="00AF3C10">
        <w:t xml:space="preserve"> particularly distressing</w:t>
      </w:r>
      <w:r w:rsidR="0038368A" w:rsidRPr="00AF3C10">
        <w:t xml:space="preserve">.  </w:t>
      </w:r>
    </w:p>
    <w:p w14:paraId="436413F9" w14:textId="77777777" w:rsidR="009769CA" w:rsidRPr="00AF3C10" w:rsidRDefault="009769CA" w:rsidP="00AF3C10"/>
    <w:p w14:paraId="6300D4F1" w14:textId="74BB8589" w:rsidR="0079675C" w:rsidRDefault="004E0135" w:rsidP="0087304D">
      <w:pPr>
        <w:ind w:firstLine="720"/>
      </w:pPr>
      <w:r w:rsidRPr="00AF3C10">
        <w:t>The second report</w:t>
      </w:r>
      <w:r w:rsidR="008144E4" w:rsidRPr="00AF3C10">
        <w:t xml:space="preserve"> before you</w:t>
      </w:r>
      <w:r w:rsidRPr="00AF3C10">
        <w:t xml:space="preserve"> </w:t>
      </w:r>
      <w:r w:rsidR="00AF3C10">
        <w:t>(A/HRC/</w:t>
      </w:r>
      <w:r w:rsidR="00AF3C10" w:rsidRPr="00B13508">
        <w:rPr>
          <w:b/>
        </w:rPr>
        <w:t>37/43</w:t>
      </w:r>
      <w:r w:rsidR="00AF3C10">
        <w:t xml:space="preserve">) </w:t>
      </w:r>
      <w:r w:rsidR="000F1D42" w:rsidRPr="00AF3C10">
        <w:t xml:space="preserve">describes </w:t>
      </w:r>
      <w:r w:rsidR="00B13508">
        <w:t xml:space="preserve">what has been </w:t>
      </w:r>
      <w:r w:rsidR="000F1D42" w:rsidRPr="00AF3C10">
        <w:t xml:space="preserve">the </w:t>
      </w:r>
      <w:r w:rsidR="00BB1754" w:rsidRPr="00367DF5">
        <w:rPr>
          <w:b/>
        </w:rPr>
        <w:t xml:space="preserve">accelerated </w:t>
      </w:r>
      <w:r w:rsidR="000F1D42" w:rsidRPr="00367DF5">
        <w:rPr>
          <w:b/>
        </w:rPr>
        <w:t>expansion of Israel’s settlement enterprise</w:t>
      </w:r>
      <w:r w:rsidR="00BB1754" w:rsidRPr="00AF3C10">
        <w:t xml:space="preserve"> during the reporting period,</w:t>
      </w:r>
      <w:r w:rsidR="001B302E" w:rsidRPr="00AF3C10">
        <w:t xml:space="preserve"> and </w:t>
      </w:r>
      <w:r w:rsidR="00B13508">
        <w:t xml:space="preserve">it deals with </w:t>
      </w:r>
      <w:r w:rsidR="008144E4" w:rsidRPr="00AF3C10">
        <w:t>the</w:t>
      </w:r>
      <w:r w:rsidR="001B302E" w:rsidRPr="00AF3C10">
        <w:t xml:space="preserve"> </w:t>
      </w:r>
      <w:r w:rsidR="00B13508" w:rsidRPr="00AF3C10">
        <w:t xml:space="preserve">human rights </w:t>
      </w:r>
      <w:r w:rsidR="001B302E" w:rsidRPr="00AF3C10">
        <w:t>impact</w:t>
      </w:r>
      <w:r w:rsidR="008144E4" w:rsidRPr="00AF3C10">
        <w:t xml:space="preserve"> of this expansion</w:t>
      </w:r>
      <w:r w:rsidR="001B302E" w:rsidRPr="00AF3C10">
        <w:t xml:space="preserve"> </w:t>
      </w:r>
      <w:r w:rsidR="00AF3C10">
        <w:t xml:space="preserve">- as </w:t>
      </w:r>
      <w:r w:rsidR="00B13508">
        <w:t xml:space="preserve">is </w:t>
      </w:r>
      <w:r w:rsidR="00AF3C10">
        <w:t>requested by your</w:t>
      </w:r>
      <w:r w:rsidR="00AF3C10" w:rsidRPr="00AF3C10">
        <w:t xml:space="preserve"> resolution 34/31</w:t>
      </w:r>
      <w:r w:rsidR="00BB1754" w:rsidRPr="00AF3C10">
        <w:t>.</w:t>
      </w:r>
      <w:r w:rsidR="0079675C" w:rsidRPr="00AF3C10">
        <w:t xml:space="preserve"> </w:t>
      </w:r>
      <w:r w:rsidR="00B13508">
        <w:t xml:space="preserve"> </w:t>
      </w:r>
      <w:r w:rsidR="0079675C" w:rsidRPr="00AF3C10">
        <w:t xml:space="preserve">In </w:t>
      </w:r>
      <w:r w:rsidR="00367DF5">
        <w:t xml:space="preserve">2017, </w:t>
      </w:r>
      <w:r w:rsidR="00B13508">
        <w:t xml:space="preserve">settlement planning accelerated in </w:t>
      </w:r>
      <w:r w:rsidR="00367DF5">
        <w:t xml:space="preserve">the </w:t>
      </w:r>
      <w:r w:rsidR="0079675C" w:rsidRPr="00AF3C10">
        <w:t xml:space="preserve">West Bank, including </w:t>
      </w:r>
      <w:r w:rsidR="00B13508">
        <w:t xml:space="preserve">in </w:t>
      </w:r>
      <w:r w:rsidR="0079675C" w:rsidRPr="00AF3C10">
        <w:t>East Jerusalem,</w:t>
      </w:r>
      <w:r w:rsidR="0087304D">
        <w:t xml:space="preserve"> with almost double </w:t>
      </w:r>
      <w:r w:rsidR="00B13508">
        <w:t>the number of</w:t>
      </w:r>
      <w:r w:rsidR="0087304D">
        <w:t xml:space="preserve"> housing units advanced for construction than </w:t>
      </w:r>
      <w:r w:rsidR="00B13508">
        <w:t xml:space="preserve">was the case </w:t>
      </w:r>
      <w:r w:rsidR="0087304D">
        <w:t>in t</w:t>
      </w:r>
      <w:r w:rsidR="00B13508">
        <w:t xml:space="preserve">he previous reporting period. </w:t>
      </w:r>
      <w:r w:rsidR="0087304D">
        <w:t xml:space="preserve">The report also details </w:t>
      </w:r>
      <w:r w:rsidR="00B13508">
        <w:t>an increase</w:t>
      </w:r>
      <w:r w:rsidR="0087304D">
        <w:t xml:space="preserve"> in </w:t>
      </w:r>
      <w:r w:rsidR="00B13508">
        <w:t xml:space="preserve">the number of related </w:t>
      </w:r>
      <w:r w:rsidR="0079675C" w:rsidRPr="00AF3C10">
        <w:t xml:space="preserve">legislative proposals </w:t>
      </w:r>
      <w:r w:rsidR="0087304D">
        <w:t xml:space="preserve">in Israel </w:t>
      </w:r>
      <w:r w:rsidR="0079675C" w:rsidRPr="00AF3C10">
        <w:t xml:space="preserve">and </w:t>
      </w:r>
      <w:r w:rsidR="00B13508">
        <w:t xml:space="preserve">an accompanying escalation </w:t>
      </w:r>
      <w:r w:rsidR="002A5219">
        <w:t xml:space="preserve">in </w:t>
      </w:r>
      <w:r w:rsidR="0079675C" w:rsidRPr="00AF3C10">
        <w:t>political rhetoric</w:t>
      </w:r>
      <w:r w:rsidR="00B13508">
        <w:t xml:space="preserve">, suggesting </w:t>
      </w:r>
      <w:r w:rsidR="009B3132">
        <w:t xml:space="preserve">there is </w:t>
      </w:r>
      <w:r w:rsidR="002A5219">
        <w:t xml:space="preserve">a move </w:t>
      </w:r>
      <w:r w:rsidR="0079675C" w:rsidRPr="00AF3C10">
        <w:t xml:space="preserve">towards </w:t>
      </w:r>
      <w:r w:rsidR="0079675C" w:rsidRPr="002A5219">
        <w:rPr>
          <w:i/>
          <w:iCs/>
        </w:rPr>
        <w:t>de facto</w:t>
      </w:r>
      <w:r w:rsidR="0079675C" w:rsidRPr="00AF3C10">
        <w:t xml:space="preserve"> annexation</w:t>
      </w:r>
      <w:r w:rsidR="002A5219">
        <w:t xml:space="preserve"> of parts of the West Bank</w:t>
      </w:r>
      <w:r w:rsidR="0079675C" w:rsidRPr="00AF3C10">
        <w:t xml:space="preserve">. </w:t>
      </w:r>
    </w:p>
    <w:p w14:paraId="6E269007" w14:textId="77777777" w:rsidR="00367DF5" w:rsidRPr="00AF3C10" w:rsidRDefault="00367DF5" w:rsidP="00AF3C10">
      <w:pPr>
        <w:ind w:firstLine="720"/>
      </w:pPr>
    </w:p>
    <w:p w14:paraId="7267A2B1" w14:textId="694D43CD" w:rsidR="00D44143" w:rsidRPr="00AF3C10" w:rsidRDefault="009769CA" w:rsidP="00C54DB0">
      <w:pPr>
        <w:ind w:firstLine="720"/>
      </w:pPr>
      <w:r w:rsidRPr="00AF3C10">
        <w:t>In particular, this</w:t>
      </w:r>
      <w:r w:rsidR="00BB1754" w:rsidRPr="00AF3C10">
        <w:t xml:space="preserve"> report</w:t>
      </w:r>
      <w:r w:rsidR="000F1D42" w:rsidRPr="00AF3C10">
        <w:t xml:space="preserve"> </w:t>
      </w:r>
      <w:r w:rsidR="00B13508">
        <w:t>finds that</w:t>
      </w:r>
      <w:r w:rsidR="000F1D42" w:rsidRPr="00AF3C10">
        <w:t xml:space="preserve"> </w:t>
      </w:r>
      <w:r w:rsidR="0038368A" w:rsidRPr="00AF3C10">
        <w:t>a number of fac</w:t>
      </w:r>
      <w:r w:rsidR="00B54695" w:rsidRPr="00AF3C10">
        <w:t>t</w:t>
      </w:r>
      <w:r w:rsidR="0038368A" w:rsidRPr="00AF3C10">
        <w:t xml:space="preserve">ors in </w:t>
      </w:r>
      <w:r w:rsidR="0038368A" w:rsidRPr="00367DF5">
        <w:rPr>
          <w:b/>
        </w:rPr>
        <w:t>occupied East Jerusalem</w:t>
      </w:r>
      <w:r w:rsidR="0038368A" w:rsidRPr="00AF3C10">
        <w:t xml:space="preserve">, </w:t>
      </w:r>
      <w:r w:rsidR="00B13508">
        <w:t xml:space="preserve">that, </w:t>
      </w:r>
      <w:r w:rsidR="00C54DB0">
        <w:rPr>
          <w:color w:val="000000"/>
        </w:rPr>
        <w:t xml:space="preserve">in addition to being human rights violations, </w:t>
      </w:r>
      <w:r w:rsidR="0038368A" w:rsidRPr="00AF3C10">
        <w:t xml:space="preserve">taken together, create an </w:t>
      </w:r>
      <w:r w:rsidR="000F1D42" w:rsidRPr="00AF3C10">
        <w:t xml:space="preserve">environment </w:t>
      </w:r>
      <w:r w:rsidR="00B13508">
        <w:t xml:space="preserve">that </w:t>
      </w:r>
      <w:r w:rsidR="0038368A" w:rsidRPr="00AF3C10">
        <w:t>has the effect of coercing residents to move</w:t>
      </w:r>
      <w:r w:rsidR="00B13508">
        <w:t>.  These are</w:t>
      </w:r>
      <w:r w:rsidR="00985595">
        <w:t xml:space="preserve"> </w:t>
      </w:r>
      <w:r w:rsidR="002A5219">
        <w:t>h</w:t>
      </w:r>
      <w:r w:rsidR="00B54695" w:rsidRPr="00AF3C10">
        <w:t xml:space="preserve">ome </w:t>
      </w:r>
      <w:r w:rsidR="008A66E8" w:rsidRPr="00AF3C10">
        <w:t>demolitions</w:t>
      </w:r>
      <w:r w:rsidR="00B54695" w:rsidRPr="00AF3C10">
        <w:t xml:space="preserve"> and forced evictions, restricted access to services, </w:t>
      </w:r>
      <w:r w:rsidR="001B302E" w:rsidRPr="00AF3C10">
        <w:t>threat</w:t>
      </w:r>
      <w:r w:rsidR="009B3132">
        <w:t>s</w:t>
      </w:r>
      <w:r w:rsidR="001B302E" w:rsidRPr="00AF3C10">
        <w:t xml:space="preserve"> of violence</w:t>
      </w:r>
      <w:r w:rsidR="00985595">
        <w:t xml:space="preserve"> </w:t>
      </w:r>
      <w:r w:rsidR="002A5219">
        <w:lastRenderedPageBreak/>
        <w:t>(</w:t>
      </w:r>
      <w:r w:rsidR="00985595">
        <w:t>including violence</w:t>
      </w:r>
      <w:r w:rsidR="00B13508" w:rsidRPr="00B13508">
        <w:t xml:space="preserve"> </w:t>
      </w:r>
      <w:r w:rsidR="00B13508">
        <w:t>at the hands of settlers</w:t>
      </w:r>
      <w:r w:rsidR="002A5219">
        <w:t>),</w:t>
      </w:r>
      <w:r w:rsidR="001B302E" w:rsidRPr="00AF3C10">
        <w:t xml:space="preserve"> restrictions </w:t>
      </w:r>
      <w:r w:rsidR="00B54695" w:rsidRPr="00AF3C10">
        <w:t>on</w:t>
      </w:r>
      <w:r w:rsidR="001B302E" w:rsidRPr="00AF3C10">
        <w:t xml:space="preserve"> freedom of movement</w:t>
      </w:r>
      <w:r w:rsidR="00EA7662" w:rsidRPr="00AF3C10">
        <w:t>;</w:t>
      </w:r>
      <w:r w:rsidR="008A66E8" w:rsidRPr="00AF3C10">
        <w:t xml:space="preserve"> and </w:t>
      </w:r>
      <w:r w:rsidR="00B54695" w:rsidRPr="00AF3C10">
        <w:t xml:space="preserve">a </w:t>
      </w:r>
      <w:r w:rsidR="008A66E8" w:rsidRPr="00AF3C10">
        <w:t>strict residency regime for Palestinian residents of East Jerusalem</w:t>
      </w:r>
      <w:r w:rsidR="00B54695" w:rsidRPr="00AF3C10">
        <w:t xml:space="preserve">.  </w:t>
      </w:r>
      <w:r w:rsidR="008A66E8" w:rsidRPr="00AF3C10">
        <w:t xml:space="preserve">As in other areas of the </w:t>
      </w:r>
      <w:r w:rsidR="00A03052">
        <w:t>o</w:t>
      </w:r>
      <w:r w:rsidR="00B54695" w:rsidRPr="00AF3C10">
        <w:t xml:space="preserve">ccupied </w:t>
      </w:r>
      <w:r w:rsidR="00A03052">
        <w:t>t</w:t>
      </w:r>
      <w:r w:rsidR="00B54695" w:rsidRPr="00AF3C10">
        <w:t>erritory</w:t>
      </w:r>
      <w:r w:rsidR="008A66E8" w:rsidRPr="00AF3C10">
        <w:t xml:space="preserve">, </w:t>
      </w:r>
      <w:r w:rsidR="00B54695" w:rsidRPr="00AF3C10">
        <w:t xml:space="preserve">such as </w:t>
      </w:r>
      <w:r w:rsidR="008A66E8" w:rsidRPr="00AF3C10">
        <w:t>Area C or Hebron’s H2</w:t>
      </w:r>
      <w:r w:rsidR="00B54695" w:rsidRPr="00AF3C10">
        <w:t xml:space="preserve"> area</w:t>
      </w:r>
      <w:r w:rsidR="008A66E8" w:rsidRPr="00AF3C10">
        <w:t xml:space="preserve">, </w:t>
      </w:r>
      <w:r w:rsidR="00EA7662" w:rsidRPr="00AF3C10">
        <w:t>these a</w:t>
      </w:r>
      <w:r w:rsidR="009B3132">
        <w:t xml:space="preserve">mong </w:t>
      </w:r>
      <w:r w:rsidR="00EA7662" w:rsidRPr="00AF3C10">
        <w:t xml:space="preserve">other </w:t>
      </w:r>
      <w:r w:rsidR="008A66E8" w:rsidRPr="00AF3C10">
        <w:t xml:space="preserve">factors may leave Palestinians </w:t>
      </w:r>
      <w:r w:rsidR="009B3132">
        <w:t xml:space="preserve">with </w:t>
      </w:r>
      <w:r w:rsidR="008A66E8" w:rsidRPr="00AF3C10">
        <w:t>no other choice but to leave area</w:t>
      </w:r>
      <w:r w:rsidR="009B3132">
        <w:t>s</w:t>
      </w:r>
      <w:r w:rsidR="008A66E8" w:rsidRPr="00AF3C10">
        <w:t xml:space="preserve"> where they have been living for decades </w:t>
      </w:r>
      <w:r w:rsidR="009B3132">
        <w:t>and for</w:t>
      </w:r>
      <w:r w:rsidR="008A66E8" w:rsidRPr="00AF3C10">
        <w:t xml:space="preserve"> generations.</w:t>
      </w:r>
      <w:r w:rsidR="00BB1754" w:rsidRPr="00AF3C10">
        <w:t xml:space="preserve"> </w:t>
      </w:r>
    </w:p>
    <w:p w14:paraId="7804CB78" w14:textId="77777777" w:rsidR="008A66E8" w:rsidRPr="00AF3C10" w:rsidRDefault="008A66E8" w:rsidP="00AF3C10"/>
    <w:p w14:paraId="2A5B13AB" w14:textId="232C7339" w:rsidR="009B3132" w:rsidRDefault="00F31A82" w:rsidP="009B3132">
      <w:pPr>
        <w:ind w:firstLine="720"/>
      </w:pPr>
      <w:r w:rsidRPr="00AF3C10">
        <w:t xml:space="preserve">The third report before you </w:t>
      </w:r>
      <w:proofErr w:type="gramStart"/>
      <w:r w:rsidRPr="00AF3C10">
        <w:t>is</w:t>
      </w:r>
      <w:proofErr w:type="gramEnd"/>
      <w:r w:rsidRPr="00AF3C10">
        <w:t xml:space="preserve"> </w:t>
      </w:r>
      <w:r w:rsidR="00D76E42" w:rsidRPr="00AF3C10">
        <w:t xml:space="preserve">the High Commissioner’s </w:t>
      </w:r>
      <w:r w:rsidR="00784589" w:rsidRPr="00367DF5">
        <w:rPr>
          <w:b/>
        </w:rPr>
        <w:t>tenth</w:t>
      </w:r>
      <w:r w:rsidR="00D76E42" w:rsidRPr="00367DF5">
        <w:rPr>
          <w:b/>
        </w:rPr>
        <w:t xml:space="preserve"> periodic report</w:t>
      </w:r>
      <w:r w:rsidR="00D76E42" w:rsidRPr="00AF3C10">
        <w:t xml:space="preserve"> on the human rights situation in the </w:t>
      </w:r>
      <w:r w:rsidR="00A03052">
        <w:t>o</w:t>
      </w:r>
      <w:r w:rsidR="00D76E42" w:rsidRPr="00AF3C10">
        <w:t xml:space="preserve">ccupied Palestinian </w:t>
      </w:r>
      <w:r w:rsidR="00A03052">
        <w:t>t</w:t>
      </w:r>
      <w:r w:rsidR="00D76E42" w:rsidRPr="00AF3C10">
        <w:t>erritory</w:t>
      </w:r>
      <w:r w:rsidR="00E3066F">
        <w:t xml:space="preserve"> (A/HRC/37/38</w:t>
      </w:r>
      <w:r w:rsidR="00367DF5">
        <w:t>)</w:t>
      </w:r>
      <w:r w:rsidR="00EA7662" w:rsidRPr="00AF3C10">
        <w:t>,</w:t>
      </w:r>
      <w:r w:rsidRPr="00AF3C10">
        <w:t xml:space="preserve"> pursuant to </w:t>
      </w:r>
      <w:r w:rsidR="00367DF5">
        <w:t>your</w:t>
      </w:r>
      <w:r w:rsidRPr="00AF3C10">
        <w:t xml:space="preserve"> resolutions S-9/1 and S-12/1. </w:t>
      </w:r>
      <w:r w:rsidR="00367DF5">
        <w:t>It</w:t>
      </w:r>
      <w:r w:rsidR="008A66E8" w:rsidRPr="00AF3C10">
        <w:t xml:space="preserve"> provides an overview </w:t>
      </w:r>
      <w:r w:rsidR="001B302E" w:rsidRPr="00AF3C10">
        <w:t>of recurring violations of international humanitarian and human rights law</w:t>
      </w:r>
      <w:r w:rsidR="00350D4A" w:rsidRPr="00AF3C10">
        <w:t xml:space="preserve"> </w:t>
      </w:r>
      <w:r w:rsidR="00A03052">
        <w:t>in the o</w:t>
      </w:r>
      <w:r w:rsidR="008A66E8" w:rsidRPr="00AF3C10">
        <w:t xml:space="preserve">ccupied Palestinian </w:t>
      </w:r>
      <w:r w:rsidR="00A03052">
        <w:t>t</w:t>
      </w:r>
      <w:r w:rsidR="008A66E8" w:rsidRPr="00AF3C10">
        <w:t>erritory</w:t>
      </w:r>
      <w:r w:rsidR="00B76137" w:rsidRPr="00AF3C10">
        <w:t xml:space="preserve"> </w:t>
      </w:r>
      <w:r w:rsidR="009B3132">
        <w:t xml:space="preserve">as perpetrated </w:t>
      </w:r>
      <w:r w:rsidR="00B76137" w:rsidRPr="00AF3C10">
        <w:t xml:space="preserve">by </w:t>
      </w:r>
      <w:r w:rsidR="009B3132">
        <w:t>the full range of</w:t>
      </w:r>
      <w:r w:rsidR="00B76137" w:rsidRPr="00AF3C10">
        <w:t xml:space="preserve"> duty-bearers</w:t>
      </w:r>
      <w:r w:rsidR="008A66E8" w:rsidRPr="00AF3C10">
        <w:t xml:space="preserve">, </w:t>
      </w:r>
      <w:r w:rsidR="009B3132">
        <w:t xml:space="preserve">and notes, </w:t>
      </w:r>
      <w:r w:rsidR="008A66E8" w:rsidRPr="00AF3C10">
        <w:t>in particular</w:t>
      </w:r>
      <w:r w:rsidR="009B3132">
        <w:t xml:space="preserve">, </w:t>
      </w:r>
      <w:r w:rsidR="007F064F" w:rsidRPr="00AF3C10">
        <w:t>concerns</w:t>
      </w:r>
      <w:r w:rsidR="009B3132">
        <w:t xml:space="preserve"> relating to</w:t>
      </w:r>
      <w:r w:rsidR="00367DF5">
        <w:t xml:space="preserve"> </w:t>
      </w:r>
      <w:r w:rsidR="008A66E8" w:rsidRPr="00AF3C10">
        <w:t>excessive use of force</w:t>
      </w:r>
      <w:r w:rsidR="00BC20FE" w:rsidRPr="00AF3C10">
        <w:t>;</w:t>
      </w:r>
      <w:r w:rsidR="008A66E8" w:rsidRPr="00AF3C10">
        <w:t xml:space="preserve"> arbitrary detention</w:t>
      </w:r>
      <w:r w:rsidR="00BC20FE" w:rsidRPr="00AF3C10">
        <w:t>;</w:t>
      </w:r>
      <w:r w:rsidR="008A66E8" w:rsidRPr="00AF3C10">
        <w:t xml:space="preserve"> torture and ill-treatment</w:t>
      </w:r>
      <w:r w:rsidR="00BC20FE" w:rsidRPr="00AF3C10">
        <w:t>;</w:t>
      </w:r>
      <w:r w:rsidR="008A66E8" w:rsidRPr="00AF3C10">
        <w:t xml:space="preserve"> </w:t>
      </w:r>
      <w:r w:rsidR="00BC20FE" w:rsidRPr="00AF3C10">
        <w:t xml:space="preserve">and </w:t>
      </w:r>
      <w:r w:rsidR="008A66E8" w:rsidRPr="00AF3C10">
        <w:t>restrictions on freedom</w:t>
      </w:r>
      <w:r w:rsidR="00BC20FE" w:rsidRPr="00AF3C10">
        <w:t>s</w:t>
      </w:r>
      <w:r w:rsidR="008A66E8" w:rsidRPr="00AF3C10">
        <w:t xml:space="preserve"> of movement, expression, peaceful assembly and association</w:t>
      </w:r>
      <w:r w:rsidR="00BC20FE" w:rsidRPr="00AF3C10">
        <w:t xml:space="preserve">. </w:t>
      </w:r>
      <w:r w:rsidR="00367DF5">
        <w:t>In</w:t>
      </w:r>
      <w:r w:rsidR="00920A78" w:rsidRPr="00AF3C10">
        <w:t xml:space="preserve"> addition to these </w:t>
      </w:r>
      <w:r w:rsidR="009B3132">
        <w:t xml:space="preserve">grave </w:t>
      </w:r>
      <w:r w:rsidR="00920A78" w:rsidRPr="00AF3C10">
        <w:t>violations, the pe</w:t>
      </w:r>
      <w:r w:rsidR="00713937" w:rsidRPr="00AF3C10">
        <w:t>rsistent lack of accountability</w:t>
      </w:r>
      <w:r w:rsidR="00920A78" w:rsidRPr="00AF3C10">
        <w:t xml:space="preserve"> and the shrinking space for media and human rights defenders are of particular concern</w:t>
      </w:r>
      <w:r w:rsidR="008A66E8" w:rsidRPr="00AF3C10">
        <w:t>.</w:t>
      </w:r>
      <w:r w:rsidR="0079675C" w:rsidRPr="00AF3C10">
        <w:t xml:space="preserve"> </w:t>
      </w:r>
    </w:p>
    <w:p w14:paraId="569CB237" w14:textId="77777777" w:rsidR="009B3132" w:rsidRDefault="009B3132" w:rsidP="009B3132">
      <w:pPr>
        <w:ind w:firstLine="720"/>
      </w:pPr>
    </w:p>
    <w:p w14:paraId="6DADC7A2" w14:textId="0DBD229A" w:rsidR="0079675C" w:rsidRPr="00AF3C10" w:rsidRDefault="00367DF5" w:rsidP="009B3132">
      <w:pPr>
        <w:ind w:firstLine="720"/>
      </w:pPr>
      <w:r w:rsidRPr="00AF3C10">
        <w:t>The report confirms patterns of violations previously reported by the Secretary-General and the High Commissioner</w:t>
      </w:r>
      <w:r>
        <w:t xml:space="preserve">, and </w:t>
      </w:r>
      <w:r w:rsidR="009B3132">
        <w:t xml:space="preserve">it </w:t>
      </w:r>
      <w:r w:rsidR="00920A78" w:rsidRPr="00AF3C10">
        <w:t xml:space="preserve">concludes </w:t>
      </w:r>
      <w:r w:rsidR="009B3132">
        <w:t>with</w:t>
      </w:r>
      <w:r w:rsidR="008A66E8" w:rsidRPr="00AF3C10" w:rsidDel="00E232A0">
        <w:t xml:space="preserve"> recommendations to the main duty-bearers, namely the Government of Israel, the Government of the State of Palestine, and authorities in Gaza.</w:t>
      </w:r>
    </w:p>
    <w:p w14:paraId="6AFEC403" w14:textId="77777777" w:rsidR="008A66E8" w:rsidRPr="00AF3C10" w:rsidRDefault="008A66E8" w:rsidP="00AF3C10"/>
    <w:p w14:paraId="3DCC736A" w14:textId="260B41BE" w:rsidR="008A66E8" w:rsidRPr="00AF3C10" w:rsidRDefault="008A66E8" w:rsidP="00C54DB0">
      <w:pPr>
        <w:ind w:firstLine="720"/>
      </w:pPr>
      <w:r w:rsidRPr="00AF3C10">
        <w:t xml:space="preserve">The fourth report before you </w:t>
      </w:r>
      <w:r w:rsidR="00367DF5">
        <w:t>(A/HRC/</w:t>
      </w:r>
      <w:r w:rsidR="00367DF5" w:rsidRPr="009B3132">
        <w:rPr>
          <w:b/>
        </w:rPr>
        <w:t>37/41</w:t>
      </w:r>
      <w:r w:rsidR="00367DF5">
        <w:t xml:space="preserve">) </w:t>
      </w:r>
      <w:r w:rsidRPr="00AF3C10">
        <w:t xml:space="preserve">is presented pursuant to </w:t>
      </w:r>
      <w:r w:rsidR="007121EB">
        <w:t>your r</w:t>
      </w:r>
      <w:r w:rsidRPr="00AF3C10">
        <w:t>esolution 34/28</w:t>
      </w:r>
      <w:r w:rsidR="007121EB">
        <w:t xml:space="preserve">. </w:t>
      </w:r>
      <w:r w:rsidR="009B3132">
        <w:t xml:space="preserve"> </w:t>
      </w:r>
      <w:r w:rsidR="007121EB">
        <w:t>It</w:t>
      </w:r>
      <w:r w:rsidR="00350D4A" w:rsidRPr="00AF3C10">
        <w:t xml:space="preserve"> provides an update on </w:t>
      </w:r>
      <w:r w:rsidR="009B3132">
        <w:t xml:space="preserve">matters </w:t>
      </w:r>
      <w:r w:rsidR="00350D4A" w:rsidRPr="00AF3C10">
        <w:t xml:space="preserve">related to </w:t>
      </w:r>
      <w:r w:rsidR="00350D4A" w:rsidRPr="00D62821">
        <w:rPr>
          <w:b/>
        </w:rPr>
        <w:t>accountability for violations of international human rights and humanitarian law</w:t>
      </w:r>
      <w:r w:rsidR="007121EB">
        <w:t xml:space="preserve">, and </w:t>
      </w:r>
      <w:r w:rsidR="009B3132">
        <w:t>it considers the responsibilities</w:t>
      </w:r>
      <w:r w:rsidR="007121EB" w:rsidRPr="00AF3C10">
        <w:t xml:space="preserve"> of </w:t>
      </w:r>
      <w:r w:rsidR="007121EB" w:rsidRPr="009B3132">
        <w:rPr>
          <w:b/>
        </w:rPr>
        <w:t>third States</w:t>
      </w:r>
      <w:r w:rsidR="007121EB" w:rsidRPr="00AF3C10">
        <w:t xml:space="preserve"> to ensure </w:t>
      </w:r>
      <w:r w:rsidR="007121EB">
        <w:t>respect for these norms</w:t>
      </w:r>
      <w:r w:rsidR="00350D4A" w:rsidRPr="00AF3C10">
        <w:t xml:space="preserve">. </w:t>
      </w:r>
      <w:r w:rsidR="007121EB">
        <w:t xml:space="preserve">The report </w:t>
      </w:r>
      <w:r w:rsidR="00350D4A" w:rsidRPr="00AF3C10">
        <w:t>reiterates concern</w:t>
      </w:r>
      <w:r w:rsidR="009B3132">
        <w:t>s</w:t>
      </w:r>
      <w:r w:rsidR="00350D4A" w:rsidRPr="00AF3C10">
        <w:t xml:space="preserve"> </w:t>
      </w:r>
      <w:r w:rsidR="00EA7662" w:rsidRPr="00AF3C10">
        <w:t xml:space="preserve">regarding </w:t>
      </w:r>
      <w:r w:rsidR="00350D4A" w:rsidRPr="00AF3C10">
        <w:t xml:space="preserve">the lack of accountability, particularly with respect to the 2014 escalation of hostilities in Gaza, as well as the apparent excessive use of force by Israeli law enforcement officials. </w:t>
      </w:r>
      <w:r w:rsidR="007121EB">
        <w:t xml:space="preserve">It </w:t>
      </w:r>
      <w:r w:rsidR="00350D4A" w:rsidRPr="00AF3C10">
        <w:t xml:space="preserve">also </w:t>
      </w:r>
      <w:r w:rsidR="00EA7662" w:rsidRPr="00AF3C10">
        <w:t>describes</w:t>
      </w:r>
      <w:r w:rsidR="00350D4A" w:rsidRPr="00AF3C10">
        <w:t xml:space="preserve"> the situation of human rights defenders</w:t>
      </w:r>
      <w:r w:rsidR="007121EB">
        <w:t xml:space="preserve">, and the </w:t>
      </w:r>
      <w:r w:rsidR="008729DC">
        <w:t>troubling</w:t>
      </w:r>
      <w:r w:rsidR="00BC20FE" w:rsidRPr="00AF3C10">
        <w:t xml:space="preserve"> trend of </w:t>
      </w:r>
      <w:r w:rsidR="007121EB">
        <w:t xml:space="preserve">increasing </w:t>
      </w:r>
      <w:r w:rsidR="00BC20FE" w:rsidRPr="00AF3C10">
        <w:t>restrictions on</w:t>
      </w:r>
      <w:r w:rsidR="00350D4A" w:rsidRPr="00AF3C10">
        <w:t xml:space="preserve"> their work </w:t>
      </w:r>
      <w:r w:rsidR="008729DC">
        <w:t xml:space="preserve">at the hands of </w:t>
      </w:r>
      <w:r w:rsidR="00350D4A" w:rsidRPr="00AF3C10">
        <w:t xml:space="preserve">all duty-bearers. </w:t>
      </w:r>
    </w:p>
    <w:p w14:paraId="30DE1D39" w14:textId="77777777" w:rsidR="00D440B8" w:rsidRPr="00AF3C10" w:rsidRDefault="00D440B8" w:rsidP="00AF3C10"/>
    <w:p w14:paraId="2B6F3F21" w14:textId="2BAA1D44" w:rsidR="00AD3E1B" w:rsidRDefault="00486154" w:rsidP="00AF3C10">
      <w:r w:rsidRPr="00AF3C10">
        <w:tab/>
        <w:t>The fifth report</w:t>
      </w:r>
      <w:r w:rsidR="007121EB">
        <w:t xml:space="preserve"> before you </w:t>
      </w:r>
      <w:proofErr w:type="gramStart"/>
      <w:r w:rsidRPr="00AF3C10">
        <w:t>details</w:t>
      </w:r>
      <w:proofErr w:type="gramEnd"/>
      <w:r w:rsidRPr="00AF3C10">
        <w:t xml:space="preserve"> OHCHR’s work on producing a </w:t>
      </w:r>
      <w:r w:rsidRPr="007121EB">
        <w:rPr>
          <w:b/>
        </w:rPr>
        <w:t>database of business enterprises engaged in specific Israeli settlement activities</w:t>
      </w:r>
      <w:r w:rsidR="007121EB">
        <w:t xml:space="preserve"> (</w:t>
      </w:r>
      <w:r w:rsidR="007121EB" w:rsidRPr="007121EB">
        <w:t>A/HRC/37/39</w:t>
      </w:r>
      <w:r w:rsidR="007121EB">
        <w:t>), as your r</w:t>
      </w:r>
      <w:r w:rsidR="007121EB" w:rsidRPr="00AF3C10">
        <w:t>esolution 31/36</w:t>
      </w:r>
      <w:r w:rsidR="007121EB">
        <w:t xml:space="preserve"> requested</w:t>
      </w:r>
      <w:r w:rsidRPr="00AF3C10">
        <w:t xml:space="preserve">. </w:t>
      </w:r>
      <w:r w:rsidR="008729DC">
        <w:t xml:space="preserve"> </w:t>
      </w:r>
      <w:r w:rsidRPr="00AF3C10">
        <w:t xml:space="preserve">These activities, which were identified in the report of </w:t>
      </w:r>
      <w:r w:rsidRPr="008729DC">
        <w:rPr>
          <w:i/>
        </w:rPr>
        <w:t>the Independent International Fact-Finding Mission to investigate the implications of the Israeli settlements</w:t>
      </w:r>
      <w:r w:rsidRPr="00AF3C10">
        <w:t>, are either explicitly linked to the Israeli settlements in</w:t>
      </w:r>
      <w:bookmarkStart w:id="0" w:name="_GoBack"/>
      <w:bookmarkEnd w:id="0"/>
      <w:r w:rsidRPr="00AF3C10">
        <w:t xml:space="preserve"> the occupied Palestinian territory or </w:t>
      </w:r>
      <w:r w:rsidR="008729DC">
        <w:t xml:space="preserve">otherwise </w:t>
      </w:r>
      <w:r w:rsidRPr="00AF3C10">
        <w:t xml:space="preserve">enable and support their establishment, expansion and maintenance. </w:t>
      </w:r>
    </w:p>
    <w:p w14:paraId="25E4E613" w14:textId="77777777" w:rsidR="00367DF5" w:rsidRPr="00AF3C10" w:rsidRDefault="00367DF5" w:rsidP="00AF3C10"/>
    <w:p w14:paraId="66E85590" w14:textId="415FDED9" w:rsidR="007121EB" w:rsidRDefault="00D440B8" w:rsidP="007121EB">
      <w:pPr>
        <w:ind w:firstLine="720"/>
      </w:pPr>
      <w:r w:rsidRPr="00AF3C10">
        <w:t xml:space="preserve">In line with </w:t>
      </w:r>
      <w:r w:rsidR="007121EB">
        <w:t>r</w:t>
      </w:r>
      <w:r w:rsidR="00486154" w:rsidRPr="00AF3C10">
        <w:t xml:space="preserve">esolution 31/36, OHCHR </w:t>
      </w:r>
      <w:r w:rsidR="008729DC">
        <w:t>undertook associated work</w:t>
      </w:r>
      <w:r w:rsidR="00486154" w:rsidRPr="00AF3C10">
        <w:t xml:space="preserve"> in consultation with the </w:t>
      </w:r>
      <w:r w:rsidR="00486154" w:rsidRPr="007121EB">
        <w:rPr>
          <w:b/>
        </w:rPr>
        <w:t>Working Group on business and human rights</w:t>
      </w:r>
      <w:r w:rsidR="00486154" w:rsidRPr="00AF3C10">
        <w:t>.</w:t>
      </w:r>
      <w:r w:rsidR="007121EB">
        <w:t xml:space="preserve"> </w:t>
      </w:r>
      <w:r w:rsidR="00486154" w:rsidRPr="00AF3C10">
        <w:t xml:space="preserve">The report </w:t>
      </w:r>
      <w:r w:rsidR="008729DC" w:rsidRPr="00AF3C10">
        <w:t xml:space="preserve">details the rigorous methodology </w:t>
      </w:r>
      <w:r w:rsidR="008729DC">
        <w:t xml:space="preserve">followed </w:t>
      </w:r>
      <w:r w:rsidR="008729DC" w:rsidRPr="00AF3C10">
        <w:t xml:space="preserve">by OHCHR </w:t>
      </w:r>
      <w:r w:rsidR="008729DC">
        <w:t xml:space="preserve">and </w:t>
      </w:r>
      <w:r w:rsidR="00486154" w:rsidRPr="00AF3C10">
        <w:t xml:space="preserve">describes progress made towards consolidation of the database. It recalls the </w:t>
      </w:r>
      <w:r w:rsidR="008729DC">
        <w:t xml:space="preserve">relevant </w:t>
      </w:r>
      <w:r w:rsidR="00486154" w:rsidRPr="00AF3C10">
        <w:t xml:space="preserve">normative framework, drawing </w:t>
      </w:r>
      <w:r w:rsidR="008729DC">
        <w:t>on</w:t>
      </w:r>
      <w:r w:rsidR="00486154" w:rsidRPr="00AF3C10">
        <w:t xml:space="preserve"> </w:t>
      </w:r>
      <w:r w:rsidR="00486154" w:rsidRPr="008729DC">
        <w:rPr>
          <w:i/>
        </w:rPr>
        <w:t>the Working Group on business and human rights’</w:t>
      </w:r>
      <w:r w:rsidR="00486154" w:rsidRPr="00AF3C10">
        <w:t xml:space="preserve"> June 2014 statement on the occupied Palestinian territory, and makes a preliminary analysis of the most common explanations given by companies for their involvement in listed activities. </w:t>
      </w:r>
    </w:p>
    <w:p w14:paraId="5ECD074C" w14:textId="77777777" w:rsidR="007121EB" w:rsidRDefault="007121EB" w:rsidP="007121EB">
      <w:pPr>
        <w:ind w:firstLine="720"/>
      </w:pPr>
    </w:p>
    <w:p w14:paraId="62A0D112" w14:textId="30769E62" w:rsidR="007121EB" w:rsidRDefault="008E6B8F" w:rsidP="007121EB">
      <w:pPr>
        <w:ind w:firstLine="720"/>
      </w:pPr>
      <w:r w:rsidRPr="00AF3C10">
        <w:t xml:space="preserve">As stated in the High Commissioner's press release of 31 January and his global update to the Council on 7 March, a total of </w:t>
      </w:r>
      <w:r w:rsidRPr="007121EB">
        <w:rPr>
          <w:b/>
        </w:rPr>
        <w:t>206 companies</w:t>
      </w:r>
      <w:r w:rsidR="008729DC">
        <w:rPr>
          <w:b/>
        </w:rPr>
        <w:t>,</w:t>
      </w:r>
      <w:r w:rsidRPr="00AF3C10">
        <w:t xml:space="preserve"> </w:t>
      </w:r>
      <w:r w:rsidR="008729DC" w:rsidRPr="00AF3C10">
        <w:t xml:space="preserve">out of 321 </w:t>
      </w:r>
      <w:r w:rsidR="008729DC" w:rsidRPr="00AF3C10">
        <w:lastRenderedPageBreak/>
        <w:t>companies reviewed</w:t>
      </w:r>
      <w:r w:rsidR="008729DC">
        <w:t>,</w:t>
      </w:r>
      <w:r w:rsidR="008729DC" w:rsidRPr="00AF3C10">
        <w:t xml:space="preserve"> </w:t>
      </w:r>
      <w:r w:rsidRPr="00AF3C10">
        <w:t>have been screened</w:t>
      </w:r>
      <w:r w:rsidR="008729DC">
        <w:t>.  T</w:t>
      </w:r>
      <w:r w:rsidRPr="00AF3C10">
        <w:t xml:space="preserve">he Office expects to release further details after </w:t>
      </w:r>
      <w:r w:rsidR="00F72B44" w:rsidRPr="00AF3C10">
        <w:t xml:space="preserve">communicating with </w:t>
      </w:r>
      <w:r w:rsidRPr="00AF3C10">
        <w:t>all 206 companies</w:t>
      </w:r>
      <w:r w:rsidR="00F72B44" w:rsidRPr="00AF3C10">
        <w:t xml:space="preserve"> </w:t>
      </w:r>
      <w:r w:rsidR="005F71DD" w:rsidRPr="00AF3C10">
        <w:t>and considering their responses and non-responses</w:t>
      </w:r>
      <w:r w:rsidRPr="00AF3C10">
        <w:t>.</w:t>
      </w:r>
      <w:r w:rsidR="007121EB">
        <w:t xml:space="preserve"> </w:t>
      </w:r>
    </w:p>
    <w:p w14:paraId="6DA2ADAF" w14:textId="77777777" w:rsidR="007121EB" w:rsidRDefault="007121EB" w:rsidP="007121EB">
      <w:pPr>
        <w:ind w:firstLine="720"/>
      </w:pPr>
    </w:p>
    <w:p w14:paraId="08E2E3A8" w14:textId="71A333BC" w:rsidR="00D76E42" w:rsidRPr="00AF3C10" w:rsidRDefault="00486154" w:rsidP="007121EB">
      <w:pPr>
        <w:ind w:firstLine="720"/>
      </w:pPr>
      <w:r w:rsidRPr="00AF3C10">
        <w:t xml:space="preserve">The High Commissioner </w:t>
      </w:r>
      <w:r w:rsidR="00985595">
        <w:t>notes</w:t>
      </w:r>
      <w:r w:rsidRPr="00AF3C10">
        <w:t xml:space="preserve"> that </w:t>
      </w:r>
      <w:r w:rsidR="008729DC">
        <w:t>if</w:t>
      </w:r>
      <w:r w:rsidRPr="00AF3C10">
        <w:t xml:space="preserve"> the database </w:t>
      </w:r>
      <w:r w:rsidR="008729DC">
        <w:t xml:space="preserve">is </w:t>
      </w:r>
      <w:r w:rsidRPr="00AF3C10">
        <w:t>to be updated annually</w:t>
      </w:r>
      <w:r w:rsidR="008E6B8F" w:rsidRPr="00AF3C10">
        <w:t>,</w:t>
      </w:r>
      <w:r w:rsidRPr="00AF3C10">
        <w:t xml:space="preserve"> as required by resolution 31/36, </w:t>
      </w:r>
      <w:r w:rsidR="008729DC">
        <w:t xml:space="preserve">then </w:t>
      </w:r>
      <w:r w:rsidR="007121EB" w:rsidRPr="007121EB">
        <w:rPr>
          <w:b/>
        </w:rPr>
        <w:t xml:space="preserve">additional </w:t>
      </w:r>
      <w:r w:rsidRPr="007121EB">
        <w:rPr>
          <w:b/>
        </w:rPr>
        <w:t xml:space="preserve">resources </w:t>
      </w:r>
      <w:r w:rsidR="008729DC">
        <w:rPr>
          <w:b/>
        </w:rPr>
        <w:t>are</w:t>
      </w:r>
      <w:r w:rsidR="007121EB" w:rsidRPr="007121EB">
        <w:rPr>
          <w:b/>
        </w:rPr>
        <w:t xml:space="preserve"> </w:t>
      </w:r>
      <w:r w:rsidRPr="007121EB">
        <w:rPr>
          <w:b/>
        </w:rPr>
        <w:t>required</w:t>
      </w:r>
      <w:r w:rsidRPr="00AF3C10">
        <w:t>.</w:t>
      </w:r>
    </w:p>
    <w:p w14:paraId="315D7505" w14:textId="77777777" w:rsidR="00D26B77" w:rsidRPr="00AF3C10" w:rsidRDefault="00D26B77" w:rsidP="00AF3C10"/>
    <w:p w14:paraId="695F0706" w14:textId="07BBA7B4" w:rsidR="00D26B77" w:rsidRPr="00AF3C10" w:rsidRDefault="00D26B77" w:rsidP="00985595">
      <w:pPr>
        <w:ind w:firstLine="720"/>
      </w:pPr>
      <w:r w:rsidRPr="00AF3C10">
        <w:t xml:space="preserve">The sixth report before you </w:t>
      </w:r>
      <w:proofErr w:type="gramStart"/>
      <w:r w:rsidR="00D62821">
        <w:t>concerns</w:t>
      </w:r>
      <w:proofErr w:type="gramEnd"/>
      <w:r w:rsidR="00D62821">
        <w:t xml:space="preserve"> </w:t>
      </w:r>
      <w:r w:rsidR="00BC2AB9" w:rsidRPr="00AF3C10">
        <w:t xml:space="preserve">human rights in the </w:t>
      </w:r>
      <w:r w:rsidR="00BC2AB9" w:rsidRPr="007121EB">
        <w:rPr>
          <w:b/>
        </w:rPr>
        <w:t>occupied Syrian Golan</w:t>
      </w:r>
      <w:r w:rsidR="00D62821">
        <w:rPr>
          <w:b/>
        </w:rPr>
        <w:t xml:space="preserve"> (</w:t>
      </w:r>
      <w:r w:rsidR="00D62821">
        <w:t>A/HRC/</w:t>
      </w:r>
      <w:r w:rsidR="00D62821" w:rsidRPr="008729DC">
        <w:rPr>
          <w:b/>
        </w:rPr>
        <w:t>37/40</w:t>
      </w:r>
      <w:r w:rsidR="00D62821">
        <w:t>), as</w:t>
      </w:r>
      <w:r w:rsidR="00D62821" w:rsidRPr="00AF3C10">
        <w:t xml:space="preserve"> </w:t>
      </w:r>
      <w:r w:rsidR="00D62821">
        <w:t>requested by your</w:t>
      </w:r>
      <w:r w:rsidR="00D62821" w:rsidRPr="00AF3C10">
        <w:t xml:space="preserve"> resolution </w:t>
      </w:r>
      <w:r w:rsidR="00D62821">
        <w:t>34/27</w:t>
      </w:r>
      <w:r w:rsidR="00BC2AB9" w:rsidRPr="00AF3C10">
        <w:t xml:space="preserve">. The report is </w:t>
      </w:r>
      <w:r w:rsidR="00CC04D7" w:rsidRPr="00AF3C10">
        <w:t>based on information received from</w:t>
      </w:r>
      <w:r w:rsidR="00BC2AB9" w:rsidRPr="00AF3C10">
        <w:t xml:space="preserve"> Member States on human rights violations in the occupied Syrian Golan.</w:t>
      </w:r>
      <w:r w:rsidRPr="00AF3C10">
        <w:t xml:space="preserve"> </w:t>
      </w:r>
      <w:r w:rsidR="00985595">
        <w:t>I</w:t>
      </w:r>
      <w:r w:rsidR="00985595" w:rsidRPr="00AF3C10">
        <w:t>ssues related to Israeli settlements in the occupi</w:t>
      </w:r>
      <w:r w:rsidR="00985595">
        <w:t>ed Syrian Golan are also addressed in the previously mentioned report on settlements (A/HRC/37/43).</w:t>
      </w:r>
    </w:p>
    <w:p w14:paraId="63CCFE48" w14:textId="77777777" w:rsidR="00892454" w:rsidRPr="00AF3C10" w:rsidRDefault="00892454" w:rsidP="00AF3C10"/>
    <w:p w14:paraId="2CAF35AB" w14:textId="3ACD1AC8" w:rsidR="0079675C" w:rsidRDefault="0079675C" w:rsidP="00AF3C10">
      <w:proofErr w:type="spellStart"/>
      <w:r w:rsidRPr="00AF3C10">
        <w:t>Excellencies</w:t>
      </w:r>
      <w:proofErr w:type="spellEnd"/>
      <w:r w:rsidRPr="00AF3C10">
        <w:t>,</w:t>
      </w:r>
    </w:p>
    <w:p w14:paraId="69893163" w14:textId="792BBE03" w:rsidR="00D62821" w:rsidRPr="00AF3C10" w:rsidRDefault="00D62821" w:rsidP="00AF3C10">
      <w:r>
        <w:tab/>
      </w:r>
    </w:p>
    <w:p w14:paraId="6ACA44F7" w14:textId="0AE3EAA6" w:rsidR="00D62821" w:rsidRDefault="008729DC" w:rsidP="006053E8">
      <w:pPr>
        <w:ind w:firstLine="720"/>
      </w:pPr>
      <w:r>
        <w:rPr>
          <w:b/>
        </w:rPr>
        <w:t xml:space="preserve">Half a </w:t>
      </w:r>
      <w:r w:rsidR="0079675C" w:rsidRPr="00D62821">
        <w:rPr>
          <w:b/>
        </w:rPr>
        <w:t>century of occupation</w:t>
      </w:r>
      <w:r w:rsidR="0079675C" w:rsidRPr="00AF3C10">
        <w:t xml:space="preserve"> has taken a heavy toll on the human rights of virtually every Palestinian</w:t>
      </w:r>
      <w:r>
        <w:t>,</w:t>
      </w:r>
      <w:r w:rsidR="0079675C" w:rsidRPr="00AF3C10">
        <w:t xml:space="preserve"> regardless of where in the </w:t>
      </w:r>
      <w:r w:rsidR="006053E8">
        <w:t>occupied territory</w:t>
      </w:r>
      <w:r w:rsidR="006053E8" w:rsidRPr="00AF3C10">
        <w:t xml:space="preserve"> </w:t>
      </w:r>
      <w:r w:rsidR="0079675C" w:rsidRPr="00AF3C10">
        <w:t xml:space="preserve">they reside.  </w:t>
      </w:r>
    </w:p>
    <w:p w14:paraId="0D8738A1" w14:textId="77777777" w:rsidR="00D62821" w:rsidRDefault="00D62821" w:rsidP="00D62821">
      <w:pPr>
        <w:ind w:firstLine="720"/>
      </w:pPr>
    </w:p>
    <w:p w14:paraId="14BEBF24" w14:textId="77777777" w:rsidR="008729DC" w:rsidRDefault="0079675C" w:rsidP="00C54DB0">
      <w:pPr>
        <w:ind w:firstLine="720"/>
      </w:pPr>
      <w:r w:rsidRPr="00AF3C10">
        <w:t xml:space="preserve">After </w:t>
      </w:r>
      <w:r w:rsidR="006053E8">
        <w:t xml:space="preserve">more than a decade under </w:t>
      </w:r>
      <w:r w:rsidRPr="00AF3C10">
        <w:t xml:space="preserve">blockade, the </w:t>
      </w:r>
      <w:r w:rsidRPr="00D62821">
        <w:rPr>
          <w:b/>
        </w:rPr>
        <w:t>situation in Gaza</w:t>
      </w:r>
      <w:r w:rsidRPr="00AF3C10">
        <w:t xml:space="preserve"> has deteriorated to a point that is</w:t>
      </w:r>
      <w:r w:rsidR="006053E8">
        <w:t xml:space="preserve"> unbearable for its inhabitants and </w:t>
      </w:r>
      <w:r w:rsidRPr="00AF3C10">
        <w:t>untenable</w:t>
      </w:r>
      <w:r w:rsidR="006053E8">
        <w:t xml:space="preserve"> for the future</w:t>
      </w:r>
      <w:r w:rsidRPr="00AF3C10">
        <w:t xml:space="preserve">. </w:t>
      </w:r>
      <w:r w:rsidR="008729DC">
        <w:t xml:space="preserve"> </w:t>
      </w:r>
      <w:r w:rsidR="006053E8">
        <w:t xml:space="preserve">The range and depth of human rights violations </w:t>
      </w:r>
      <w:r w:rsidR="00C45FB0">
        <w:t xml:space="preserve">in this crowded strip of land is </w:t>
      </w:r>
      <w:r w:rsidR="00675A59">
        <w:t xml:space="preserve">truly </w:t>
      </w:r>
      <w:r w:rsidR="00C45FB0">
        <w:t>alarming</w:t>
      </w:r>
      <w:r w:rsidR="006053E8">
        <w:t xml:space="preserve">. </w:t>
      </w:r>
      <w:r w:rsidR="00C54DB0">
        <w:t xml:space="preserve">The vast majority of the </w:t>
      </w:r>
      <w:r w:rsidR="00C54DB0">
        <w:rPr>
          <w:color w:val="000000"/>
        </w:rPr>
        <w:t>population of two million cannot leav</w:t>
      </w:r>
      <w:r w:rsidR="008729DC">
        <w:rPr>
          <w:color w:val="000000"/>
        </w:rPr>
        <w:t xml:space="preserve">e </w:t>
      </w:r>
      <w:r w:rsidR="00C54DB0">
        <w:rPr>
          <w:color w:val="000000"/>
        </w:rPr>
        <w:t xml:space="preserve">due to restrictions to their freedom of movement. </w:t>
      </w:r>
      <w:r w:rsidR="008729DC">
        <w:t>Essential</w:t>
      </w:r>
      <w:r w:rsidR="00C45FB0">
        <w:t xml:space="preserve"> services such as </w:t>
      </w:r>
      <w:r w:rsidR="008729DC">
        <w:t>those associated with health, education, water and</w:t>
      </w:r>
      <w:r w:rsidR="00C45FB0">
        <w:t xml:space="preserve"> sanitation </w:t>
      </w:r>
      <w:r w:rsidR="008729DC">
        <w:t>need</w:t>
      </w:r>
      <w:r w:rsidR="00C45FB0">
        <w:t xml:space="preserve"> reliable and affordable electric</w:t>
      </w:r>
      <w:r w:rsidR="00675A59">
        <w:t>i</w:t>
      </w:r>
      <w:r w:rsidR="00C45FB0">
        <w:t xml:space="preserve">ty. </w:t>
      </w:r>
      <w:r w:rsidR="008729DC">
        <w:t>Yet t</w:t>
      </w:r>
      <w:r w:rsidR="00C45FB0">
        <w:t xml:space="preserve">oday, Gazans </w:t>
      </w:r>
      <w:r w:rsidR="00675A59">
        <w:t>live with</w:t>
      </w:r>
      <w:r w:rsidR="00C45FB0">
        <w:t xml:space="preserve"> electricity cuts </w:t>
      </w:r>
      <w:r w:rsidR="008729DC">
        <w:t>lasting up to</w:t>
      </w:r>
      <w:r w:rsidR="00C45FB0">
        <w:t xml:space="preserve"> 18-20</w:t>
      </w:r>
      <w:r w:rsidR="009A606E">
        <w:t xml:space="preserve"> </w:t>
      </w:r>
      <w:r w:rsidR="006053E8">
        <w:t>hours a day</w:t>
      </w:r>
      <w:r w:rsidR="005908DC">
        <w:t xml:space="preserve">. </w:t>
      </w:r>
    </w:p>
    <w:p w14:paraId="3D650FC2" w14:textId="77777777" w:rsidR="008729DC" w:rsidRDefault="008729DC" w:rsidP="00C54DB0">
      <w:pPr>
        <w:ind w:firstLine="720"/>
      </w:pPr>
    </w:p>
    <w:p w14:paraId="7F07C94E" w14:textId="18D38F51" w:rsidR="00A03052" w:rsidRDefault="00C45FB0" w:rsidP="008729DC">
      <w:pPr>
        <w:ind w:firstLine="720"/>
      </w:pPr>
      <w:r>
        <w:t xml:space="preserve">This has brought the health system to the verge of collapse (with many lives </w:t>
      </w:r>
      <w:r w:rsidR="008729DC">
        <w:t xml:space="preserve">lost </w:t>
      </w:r>
      <w:r>
        <w:t>along the way)</w:t>
      </w:r>
      <w:r w:rsidR="008729DC">
        <w:t>.  It has made of</w:t>
      </w:r>
      <w:r>
        <w:t xml:space="preserve"> </w:t>
      </w:r>
      <w:r w:rsidR="008729DC">
        <w:t xml:space="preserve">simple </w:t>
      </w:r>
      <w:r>
        <w:t xml:space="preserve">daily tasks </w:t>
      </w:r>
      <w:r w:rsidR="008729DC">
        <w:t xml:space="preserve">– such as </w:t>
      </w:r>
      <w:r>
        <w:t>cooking, washing</w:t>
      </w:r>
      <w:r w:rsidR="00C34B39">
        <w:t xml:space="preserve">, </w:t>
      </w:r>
      <w:r w:rsidR="008729DC">
        <w:t xml:space="preserve">caring for </w:t>
      </w:r>
      <w:r w:rsidR="00C34B39">
        <w:t xml:space="preserve">children, </w:t>
      </w:r>
      <w:r w:rsidR="008729DC">
        <w:t>heating homes, visiting</w:t>
      </w:r>
      <w:r w:rsidR="00C34B39">
        <w:t xml:space="preserve"> relatives </w:t>
      </w:r>
      <w:r w:rsidR="008729DC">
        <w:t xml:space="preserve">– </w:t>
      </w:r>
      <w:r w:rsidR="00675A59">
        <w:t xml:space="preserve">a complex challenge </w:t>
      </w:r>
      <w:r w:rsidR="008729DC">
        <w:t xml:space="preserve">with severe impacts on all </w:t>
      </w:r>
      <w:r w:rsidR="00675A59">
        <w:t>Gazans and their families</w:t>
      </w:r>
      <w:r w:rsidR="009A606E">
        <w:t>, but particular</w:t>
      </w:r>
      <w:r w:rsidR="00A03052">
        <w:t xml:space="preserve">ly </w:t>
      </w:r>
      <w:r w:rsidR="009A606E">
        <w:t>for women</w:t>
      </w:r>
      <w:r w:rsidR="00675A59">
        <w:t xml:space="preserve">. </w:t>
      </w:r>
    </w:p>
    <w:p w14:paraId="0D4E8867" w14:textId="77777777" w:rsidR="00A03052" w:rsidRDefault="00A03052" w:rsidP="008729DC">
      <w:pPr>
        <w:ind w:firstLine="720"/>
      </w:pPr>
    </w:p>
    <w:p w14:paraId="0F633936" w14:textId="77777777" w:rsidR="00A03052" w:rsidRDefault="00A03052" w:rsidP="008729DC">
      <w:pPr>
        <w:ind w:firstLine="720"/>
      </w:pPr>
      <w:r>
        <w:t>It is next to impossible to operate viable</w:t>
      </w:r>
      <w:r w:rsidR="00C34B39">
        <w:t xml:space="preserve"> business</w:t>
      </w:r>
      <w:r>
        <w:t>es under these circumstances</w:t>
      </w:r>
      <w:r w:rsidR="00C34B39">
        <w:t xml:space="preserve">. </w:t>
      </w:r>
      <w:r w:rsidR="00675A59">
        <w:t xml:space="preserve">At the same time, unemployment is </w:t>
      </w:r>
      <w:r>
        <w:t xml:space="preserve">now </w:t>
      </w:r>
      <w:r w:rsidR="00675A59">
        <w:t xml:space="preserve">at extreme levels, dozens of Gazans </w:t>
      </w:r>
      <w:r w:rsidR="008A7853">
        <w:t>are killed</w:t>
      </w:r>
      <w:r w:rsidR="00675A59">
        <w:t xml:space="preserve"> or injured along the fence with Israel and the sea, and those </w:t>
      </w:r>
      <w:r>
        <w:t xml:space="preserve">in the Strip </w:t>
      </w:r>
      <w:r w:rsidR="00675A59">
        <w:t>who seek to complain</w:t>
      </w:r>
      <w:r>
        <w:t>, then</w:t>
      </w:r>
      <w:r w:rsidR="00675A59">
        <w:t xml:space="preserve"> see their rights to freedom of expression severely curtailed. </w:t>
      </w:r>
    </w:p>
    <w:p w14:paraId="6754EC84" w14:textId="77777777" w:rsidR="00A03052" w:rsidRDefault="00A03052" w:rsidP="008729DC">
      <w:pPr>
        <w:ind w:firstLine="720"/>
      </w:pPr>
    </w:p>
    <w:p w14:paraId="3287ADE6" w14:textId="6C969166" w:rsidR="00C45FB0" w:rsidRDefault="005908DC" w:rsidP="008729DC">
      <w:pPr>
        <w:ind w:firstLine="720"/>
      </w:pPr>
      <w:r>
        <w:t>E</w:t>
      </w:r>
      <w:r w:rsidR="00C54DB0">
        <w:rPr>
          <w:color w:val="000000"/>
        </w:rPr>
        <w:t>xchange of fire between armed groups in Gaza and Israel have escalated in the past months, further increasing tension and risk to civilians on both sides.</w:t>
      </w:r>
    </w:p>
    <w:p w14:paraId="17AAE851" w14:textId="77777777" w:rsidR="00C45FB0" w:rsidRDefault="00C45FB0" w:rsidP="00C45FB0">
      <w:pPr>
        <w:ind w:firstLine="720"/>
      </w:pPr>
    </w:p>
    <w:p w14:paraId="58AAB7D0" w14:textId="61725BD5" w:rsidR="0079675C" w:rsidRPr="00AF3C10" w:rsidRDefault="00675A59" w:rsidP="00675A59">
      <w:pPr>
        <w:ind w:firstLine="720"/>
      </w:pPr>
      <w:r>
        <w:t>Th</w:t>
      </w:r>
      <w:r w:rsidR="00A03052">
        <w:t>is</w:t>
      </w:r>
      <w:r>
        <w:t xml:space="preserve"> terrible reality for Gazans is </w:t>
      </w:r>
      <w:r w:rsidR="0079675C" w:rsidRPr="00AF3C10">
        <w:t xml:space="preserve">recognized by Israel, </w:t>
      </w:r>
      <w:r w:rsidR="00A03052">
        <w:t xml:space="preserve">understood </w:t>
      </w:r>
      <w:r w:rsidR="0079675C" w:rsidRPr="00AF3C10">
        <w:t>by the Palestinian Authority,</w:t>
      </w:r>
      <w:r>
        <w:t xml:space="preserve"> </w:t>
      </w:r>
      <w:r w:rsidR="0079675C" w:rsidRPr="00AF3C10">
        <w:t xml:space="preserve">and </w:t>
      </w:r>
      <w:r w:rsidR="00A03052">
        <w:t xml:space="preserve">known to </w:t>
      </w:r>
      <w:r w:rsidR="0079675C" w:rsidRPr="00AF3C10">
        <w:t xml:space="preserve">the international community. </w:t>
      </w:r>
      <w:r w:rsidR="00A03052">
        <w:t>Yet still</w:t>
      </w:r>
      <w:r>
        <w:t xml:space="preserve">, </w:t>
      </w:r>
      <w:r w:rsidR="0079675C" w:rsidRPr="00AF3C10">
        <w:t>we</w:t>
      </w:r>
      <w:r w:rsidR="008A7853">
        <w:t>,</w:t>
      </w:r>
      <w:r w:rsidR="0079675C" w:rsidRPr="00AF3C10">
        <w:t xml:space="preserve"> </w:t>
      </w:r>
      <w:r>
        <w:t xml:space="preserve">the UN family </w:t>
      </w:r>
      <w:r w:rsidR="00A03052">
        <w:t>alongside</w:t>
      </w:r>
      <w:r>
        <w:t xml:space="preserve"> others</w:t>
      </w:r>
      <w:r w:rsidR="00A03052">
        <w:t>,</w:t>
      </w:r>
      <w:r>
        <w:t xml:space="preserve"> </w:t>
      </w:r>
      <w:r w:rsidR="0079675C" w:rsidRPr="00AF3C10">
        <w:t>find ourselves highlighting it again</w:t>
      </w:r>
      <w:r>
        <w:t xml:space="preserve"> and again</w:t>
      </w:r>
      <w:r w:rsidR="0079675C" w:rsidRPr="00AF3C10">
        <w:t xml:space="preserve">, week after week, month after month. </w:t>
      </w:r>
      <w:r w:rsidR="00A03052">
        <w:t xml:space="preserve"> </w:t>
      </w:r>
    </w:p>
    <w:p w14:paraId="7D24B8AC" w14:textId="77777777" w:rsidR="0079675C" w:rsidRPr="00AF3C10" w:rsidRDefault="0079675C" w:rsidP="00AF3C10"/>
    <w:p w14:paraId="22F1DD73" w14:textId="77777777" w:rsidR="00A03052" w:rsidRDefault="0079675C" w:rsidP="00A03052">
      <w:pPr>
        <w:ind w:firstLine="720"/>
      </w:pPr>
      <w:r w:rsidRPr="00AF3C10">
        <w:t xml:space="preserve">The </w:t>
      </w:r>
      <w:r w:rsidRPr="00D62821">
        <w:rPr>
          <w:b/>
        </w:rPr>
        <w:t>impact of the conflict on</w:t>
      </w:r>
      <w:r w:rsidR="00A03052">
        <w:rPr>
          <w:b/>
        </w:rPr>
        <w:t xml:space="preserve"> the lives of</w:t>
      </w:r>
      <w:r w:rsidRPr="00D62821">
        <w:rPr>
          <w:b/>
        </w:rPr>
        <w:t xml:space="preserve"> children</w:t>
      </w:r>
      <w:r w:rsidRPr="00AF3C10">
        <w:t xml:space="preserve"> </w:t>
      </w:r>
      <w:r w:rsidR="00A03052">
        <w:t xml:space="preserve">is </w:t>
      </w:r>
      <w:r w:rsidRPr="00AF3C10">
        <w:t xml:space="preserve">entirely unacceptable. </w:t>
      </w:r>
      <w:r w:rsidR="00A03052">
        <w:t>In this year alone,</w:t>
      </w:r>
      <w:r w:rsidRPr="00AF3C10">
        <w:t xml:space="preserve"> </w:t>
      </w:r>
      <w:r w:rsidR="00C44732" w:rsidRPr="00AF3C10">
        <w:t xml:space="preserve">6 </w:t>
      </w:r>
      <w:r w:rsidRPr="00AF3C10">
        <w:t xml:space="preserve">children have been shot </w:t>
      </w:r>
      <w:r w:rsidR="00BC20FE" w:rsidRPr="00AF3C10">
        <w:t>and killed</w:t>
      </w:r>
      <w:r w:rsidRPr="00AF3C10">
        <w:t xml:space="preserve"> in the context of protests. </w:t>
      </w:r>
      <w:r w:rsidR="00C54DB0">
        <w:t xml:space="preserve">The past year </w:t>
      </w:r>
      <w:r w:rsidR="00A03052">
        <w:t>saw</w:t>
      </w:r>
      <w:r w:rsidR="00C54DB0">
        <w:t xml:space="preserve"> </w:t>
      </w:r>
      <w:r w:rsidR="00A723DB">
        <w:t xml:space="preserve">hundreds of Palestinian </w:t>
      </w:r>
      <w:r w:rsidR="00C34B39">
        <w:t xml:space="preserve">children </w:t>
      </w:r>
      <w:r w:rsidR="00A723DB">
        <w:t xml:space="preserve">detained by Israel (some </w:t>
      </w:r>
      <w:r w:rsidR="00C34B39">
        <w:t>without charge under ad</w:t>
      </w:r>
      <w:r w:rsidR="00A723DB">
        <w:t>ministrative detention)</w:t>
      </w:r>
      <w:r w:rsidR="005908DC">
        <w:t xml:space="preserve">. </w:t>
      </w:r>
      <w:r w:rsidR="0087304D">
        <w:t xml:space="preserve">We also see worrying trends in the detention of children by </w:t>
      </w:r>
      <w:r w:rsidR="00A723DB">
        <w:t>Palestinian duty bea</w:t>
      </w:r>
      <w:r w:rsidR="0087304D">
        <w:t>r</w:t>
      </w:r>
      <w:r w:rsidR="00A723DB">
        <w:t>ers.  These figures call into question whether dete</w:t>
      </w:r>
      <w:r w:rsidR="00B45507">
        <w:t>n</w:t>
      </w:r>
      <w:r w:rsidR="00A723DB">
        <w:t>tion is being used as a last resort for children, as demanded by international law.</w:t>
      </w:r>
    </w:p>
    <w:p w14:paraId="4D2EBCDE" w14:textId="77777777" w:rsidR="00A03052" w:rsidRDefault="00A03052" w:rsidP="00A03052">
      <w:pPr>
        <w:ind w:firstLine="720"/>
      </w:pPr>
    </w:p>
    <w:p w14:paraId="2268E799" w14:textId="77777777" w:rsidR="00A03052" w:rsidRDefault="00A723DB" w:rsidP="00A03052">
      <w:pPr>
        <w:ind w:firstLine="720"/>
      </w:pPr>
      <w:r>
        <w:t xml:space="preserve">The past year </w:t>
      </w:r>
      <w:r w:rsidR="00A03052">
        <w:t>of conflict saw</w:t>
      </w:r>
      <w:r>
        <w:t xml:space="preserve"> a large number of </w:t>
      </w:r>
      <w:r w:rsidRPr="005908DC">
        <w:rPr>
          <w:b/>
        </w:rPr>
        <w:t>deaths and injuries</w:t>
      </w:r>
      <w:r w:rsidR="005C251B">
        <w:t>, with both Palestinians and Israelis suffering. In the first two month</w:t>
      </w:r>
      <w:r w:rsidR="005908DC">
        <w:t>s</w:t>
      </w:r>
      <w:r w:rsidR="005C251B">
        <w:t xml:space="preserve"> of 2018, 15 Palestinians and 2 Israelis lost their lives. </w:t>
      </w:r>
    </w:p>
    <w:p w14:paraId="1444454B" w14:textId="77777777" w:rsidR="00A03052" w:rsidRDefault="00A03052" w:rsidP="00A03052">
      <w:pPr>
        <w:ind w:firstLine="720"/>
      </w:pPr>
    </w:p>
    <w:p w14:paraId="04CDA3C9" w14:textId="58E23E96" w:rsidR="0079675C" w:rsidRPr="00AF3C10" w:rsidRDefault="00E13B8C" w:rsidP="00A03052">
      <w:pPr>
        <w:ind w:firstLine="720"/>
      </w:pPr>
      <w:r>
        <w:t>In addition, thousands of people have been injured</w:t>
      </w:r>
      <w:r w:rsidR="0087304D">
        <w:t xml:space="preserve"> </w:t>
      </w:r>
      <w:r>
        <w:t xml:space="preserve">in protests following </w:t>
      </w:r>
      <w:r w:rsidR="0079675C" w:rsidRPr="00AF3C10">
        <w:t>the 6</w:t>
      </w:r>
      <w:r w:rsidR="00BC20FE" w:rsidRPr="00AF3C10">
        <w:t xml:space="preserve"> </w:t>
      </w:r>
      <w:r w:rsidR="0079675C" w:rsidRPr="00AF3C10">
        <w:t>December announcement by the US President recognizing Jerusalem as the capital of Israel.</w:t>
      </w:r>
      <w:r w:rsidR="008A7853">
        <w:t xml:space="preserve"> </w:t>
      </w:r>
      <w:r>
        <w:t>OHCHR continues to document cases of killing and injury</w:t>
      </w:r>
      <w:r w:rsidR="005908DC">
        <w:t>,</w:t>
      </w:r>
      <w:r>
        <w:t xml:space="preserve"> raising </w:t>
      </w:r>
      <w:r w:rsidR="00A03052">
        <w:t xml:space="preserve">serious </w:t>
      </w:r>
      <w:r>
        <w:t xml:space="preserve">concerns </w:t>
      </w:r>
      <w:r w:rsidR="00A03052">
        <w:t xml:space="preserve">about </w:t>
      </w:r>
      <w:r w:rsidR="0079675C" w:rsidRPr="00AF3C10">
        <w:t>excessive use of force</w:t>
      </w:r>
      <w:r>
        <w:t xml:space="preserve"> by Israeli security forces, and some of these appear in the reports before you</w:t>
      </w:r>
      <w:r w:rsidR="0079675C" w:rsidRPr="00AF3C10">
        <w:t>.</w:t>
      </w:r>
    </w:p>
    <w:p w14:paraId="60110EE3" w14:textId="77777777" w:rsidR="0079675C" w:rsidRPr="00AF3C10" w:rsidRDefault="0079675C" w:rsidP="00AF3C10"/>
    <w:p w14:paraId="0ED74701" w14:textId="76791B09" w:rsidR="00E3066F" w:rsidRDefault="0079675C" w:rsidP="00A03052">
      <w:pPr>
        <w:ind w:firstLine="720"/>
      </w:pPr>
      <w:r w:rsidRPr="00AF3C10">
        <w:t xml:space="preserve">The feelings of </w:t>
      </w:r>
      <w:r w:rsidR="00A03052">
        <w:rPr>
          <w:b/>
        </w:rPr>
        <w:t>despair</w:t>
      </w:r>
      <w:r w:rsidRPr="00AF3C10">
        <w:t xml:space="preserve"> among Palestinians in the face of these developments cannot be overstated. </w:t>
      </w:r>
      <w:r w:rsidR="00A03052">
        <w:t>And, I reiterate that b</w:t>
      </w:r>
      <w:r w:rsidRPr="00AF3C10">
        <w:t>oth Israel</w:t>
      </w:r>
      <w:r w:rsidR="00E13B8C">
        <w:t>i</w:t>
      </w:r>
      <w:r w:rsidRPr="00AF3C10">
        <w:t xml:space="preserve"> and the Palestinian authorities </w:t>
      </w:r>
      <w:r w:rsidR="00A03052">
        <w:t xml:space="preserve">must take steps to protect </w:t>
      </w:r>
      <w:r w:rsidR="00A03052" w:rsidRPr="00D62821">
        <w:rPr>
          <w:b/>
        </w:rPr>
        <w:t>human rights defenders</w:t>
      </w:r>
      <w:r w:rsidR="00A03052" w:rsidRPr="00AF3C10">
        <w:t xml:space="preserve"> and </w:t>
      </w:r>
      <w:r w:rsidR="00A03052">
        <w:t xml:space="preserve">civil society </w:t>
      </w:r>
      <w:r w:rsidR="00A03052" w:rsidRPr="00AF3C10">
        <w:t>organizations</w:t>
      </w:r>
      <w:r w:rsidR="00A03052">
        <w:t xml:space="preserve"> so that their work may</w:t>
      </w:r>
      <w:r w:rsidRPr="00AF3C10">
        <w:t xml:space="preserve"> continue without undue restrictions.  </w:t>
      </w:r>
    </w:p>
    <w:p w14:paraId="7E16C111" w14:textId="77777777" w:rsidR="00E3066F" w:rsidRDefault="00E3066F" w:rsidP="00E3066F">
      <w:pPr>
        <w:ind w:firstLine="720"/>
      </w:pPr>
    </w:p>
    <w:p w14:paraId="74F59DD9" w14:textId="56B8AA68" w:rsidR="00E3066F" w:rsidRPr="00AF3C10" w:rsidRDefault="00E13B8C" w:rsidP="00E13B8C">
      <w:pPr>
        <w:ind w:firstLine="720"/>
      </w:pPr>
      <w:r>
        <w:t xml:space="preserve">OHCHR </w:t>
      </w:r>
      <w:r w:rsidR="005908DC">
        <w:t xml:space="preserve">also </w:t>
      </w:r>
      <w:r>
        <w:t xml:space="preserve">has </w:t>
      </w:r>
      <w:r w:rsidR="00A03052">
        <w:t xml:space="preserve">further </w:t>
      </w:r>
      <w:r>
        <w:t>grave c</w:t>
      </w:r>
      <w:r w:rsidR="00E3066F" w:rsidRPr="00AF3C10">
        <w:t xml:space="preserve">oncerns </w:t>
      </w:r>
      <w:r>
        <w:t xml:space="preserve">over </w:t>
      </w:r>
      <w:r w:rsidR="00A03052">
        <w:t>the excessive use of force;</w:t>
      </w:r>
      <w:r w:rsidR="005908DC" w:rsidRPr="00AF3C10">
        <w:t xml:space="preserve"> </w:t>
      </w:r>
      <w:r w:rsidR="00A03052">
        <w:t>alleged</w:t>
      </w:r>
      <w:r w:rsidR="005908DC" w:rsidRPr="00AF3C10">
        <w:t xml:space="preserve"> torture and ill treatment of detainees</w:t>
      </w:r>
      <w:r w:rsidR="00A03052">
        <w:t>;</w:t>
      </w:r>
      <w:r w:rsidR="005908DC">
        <w:t xml:space="preserve"> </w:t>
      </w:r>
      <w:r w:rsidR="005908DC" w:rsidRPr="00AF3C10">
        <w:t xml:space="preserve">administrative and arbitrary detention </w:t>
      </w:r>
      <w:r w:rsidR="005908DC">
        <w:t xml:space="preserve">and </w:t>
      </w:r>
      <w:r w:rsidR="00E3066F" w:rsidRPr="00AF3C10">
        <w:t>unl</w:t>
      </w:r>
      <w:r w:rsidR="005908DC">
        <w:t xml:space="preserve">awful use of the death penalty </w:t>
      </w:r>
      <w:r>
        <w:t xml:space="preserve">by </w:t>
      </w:r>
      <w:r w:rsidRPr="00E13B8C">
        <w:rPr>
          <w:b/>
          <w:bCs/>
        </w:rPr>
        <w:t>Palestinian authorities</w:t>
      </w:r>
      <w:r>
        <w:t xml:space="preserve"> </w:t>
      </w:r>
      <w:r w:rsidR="00E3066F" w:rsidRPr="00AF3C10">
        <w:t xml:space="preserve">in the West Bank and Gaza. </w:t>
      </w:r>
      <w:r>
        <w:t xml:space="preserve">These concerns must be addressed. </w:t>
      </w:r>
    </w:p>
    <w:p w14:paraId="260530C5" w14:textId="77777777" w:rsidR="0079675C" w:rsidRPr="00AF3C10" w:rsidRDefault="0079675C" w:rsidP="00AF3C10"/>
    <w:p w14:paraId="302CC84A" w14:textId="2B9C2004" w:rsidR="0079675C" w:rsidRPr="00AF3C10" w:rsidRDefault="0079675C" w:rsidP="00D62821">
      <w:pPr>
        <w:ind w:firstLine="720"/>
      </w:pPr>
      <w:r w:rsidRPr="00AF3C10">
        <w:t xml:space="preserve">On a more positive note, I </w:t>
      </w:r>
      <w:r w:rsidRPr="00D62821">
        <w:rPr>
          <w:b/>
        </w:rPr>
        <w:t>welcome the State of Palestine’s continued work on implementation of the human rights treaties</w:t>
      </w:r>
      <w:r w:rsidRPr="00AF3C10">
        <w:t xml:space="preserve"> to which it has acceded</w:t>
      </w:r>
      <w:r w:rsidR="00B76137" w:rsidRPr="00AF3C10">
        <w:t xml:space="preserve">, as well as its accession to the Optional Protocol </w:t>
      </w:r>
      <w:r w:rsidR="005B4C50" w:rsidRPr="00AF3C10">
        <w:t>to the Convention Against Torture and to the Option</w:t>
      </w:r>
      <w:r w:rsidR="00AF44D7" w:rsidRPr="00AF3C10">
        <w:t>al</w:t>
      </w:r>
      <w:r w:rsidR="005B4C50" w:rsidRPr="00AF3C10">
        <w:t xml:space="preserve"> Protocol to the Convention on the Rights of the Child on 29 December 2017</w:t>
      </w:r>
      <w:r w:rsidRPr="00AF3C10">
        <w:t xml:space="preserve">.  The technical assistance my Office has provided will continue and expand this year, and we look forward to the submission of other reports to the treaty bodies.  </w:t>
      </w:r>
    </w:p>
    <w:p w14:paraId="771313DF" w14:textId="77777777" w:rsidR="00784589" w:rsidRPr="00AF3C10" w:rsidRDefault="00784589" w:rsidP="00AF3C10"/>
    <w:p w14:paraId="35BA112E" w14:textId="75980B21" w:rsidR="00E90A7A" w:rsidRDefault="00784589" w:rsidP="00AF3C10">
      <w:r w:rsidRPr="00AF3C10">
        <w:tab/>
        <w:t>Thank you.</w:t>
      </w:r>
    </w:p>
    <w:p w14:paraId="64EFE713" w14:textId="78D4A053" w:rsidR="00B14765" w:rsidRDefault="00B14765" w:rsidP="00AF3C10"/>
    <w:p w14:paraId="10178B43" w14:textId="413BCCB6" w:rsidR="00B14765" w:rsidRPr="00AF3C10" w:rsidRDefault="005908DC" w:rsidP="0081226A">
      <w:r>
        <w:t>[1600 words or 9 minutes]</w:t>
      </w:r>
    </w:p>
    <w:sectPr w:rsidR="00B14765" w:rsidRPr="00AF3C10" w:rsidSect="001A4086">
      <w:footerReference w:type="default" r:id="rId12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DFAD" w14:textId="77777777" w:rsidR="00A4195E" w:rsidRDefault="00A4195E" w:rsidP="00935FA1">
      <w:r>
        <w:separator/>
      </w:r>
    </w:p>
  </w:endnote>
  <w:endnote w:type="continuationSeparator" w:id="0">
    <w:p w14:paraId="4514A378" w14:textId="77777777" w:rsidR="00A4195E" w:rsidRDefault="00A4195E" w:rsidP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85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287F0" w14:textId="16005294" w:rsidR="00D440B8" w:rsidRDefault="00D44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8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C6047D" w14:textId="77777777" w:rsidR="00D440B8" w:rsidRDefault="00D4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8228" w14:textId="77777777" w:rsidR="00A4195E" w:rsidRDefault="00A4195E" w:rsidP="00935FA1">
      <w:r>
        <w:separator/>
      </w:r>
    </w:p>
  </w:footnote>
  <w:footnote w:type="continuationSeparator" w:id="0">
    <w:p w14:paraId="0EE68DD7" w14:textId="77777777" w:rsidR="00A4195E" w:rsidRDefault="00A4195E" w:rsidP="0093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4DF0AD"/>
    <w:multiLevelType w:val="hybridMultilevel"/>
    <w:tmpl w:val="8A57CB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9A1567"/>
    <w:multiLevelType w:val="hybridMultilevel"/>
    <w:tmpl w:val="9CE0D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EEE5E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8F3C8A"/>
    <w:multiLevelType w:val="hybridMultilevel"/>
    <w:tmpl w:val="320205AE"/>
    <w:lvl w:ilvl="0" w:tplc="D6541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043"/>
    <w:multiLevelType w:val="hybridMultilevel"/>
    <w:tmpl w:val="B5B43BC6"/>
    <w:lvl w:ilvl="0" w:tplc="8AF451C2">
      <w:start w:val="1"/>
      <w:numFmt w:val="decimal"/>
      <w:lvlText w:val="%1."/>
      <w:lvlJc w:val="left"/>
      <w:pPr>
        <w:ind w:left="1710" w:hanging="576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0882F0E"/>
    <w:multiLevelType w:val="hybridMultilevel"/>
    <w:tmpl w:val="CF54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6E"/>
    <w:rsid w:val="0000584A"/>
    <w:rsid w:val="00005CE2"/>
    <w:rsid w:val="00006E1E"/>
    <w:rsid w:val="0001099C"/>
    <w:rsid w:val="00012E6B"/>
    <w:rsid w:val="00014DA5"/>
    <w:rsid w:val="00026DC6"/>
    <w:rsid w:val="00030511"/>
    <w:rsid w:val="0003421C"/>
    <w:rsid w:val="00045BA7"/>
    <w:rsid w:val="00073D80"/>
    <w:rsid w:val="0007664F"/>
    <w:rsid w:val="00076C4C"/>
    <w:rsid w:val="00077CA5"/>
    <w:rsid w:val="00083605"/>
    <w:rsid w:val="00083AD6"/>
    <w:rsid w:val="0008587C"/>
    <w:rsid w:val="000944B1"/>
    <w:rsid w:val="000B2B9F"/>
    <w:rsid w:val="000B4786"/>
    <w:rsid w:val="000B74B5"/>
    <w:rsid w:val="000C3ABB"/>
    <w:rsid w:val="000C4AAE"/>
    <w:rsid w:val="000C4E6E"/>
    <w:rsid w:val="000C7BDE"/>
    <w:rsid w:val="000D08FF"/>
    <w:rsid w:val="000D1EDC"/>
    <w:rsid w:val="000D2636"/>
    <w:rsid w:val="000D288E"/>
    <w:rsid w:val="000E0C61"/>
    <w:rsid w:val="000E43AC"/>
    <w:rsid w:val="000E48C0"/>
    <w:rsid w:val="000F1880"/>
    <w:rsid w:val="000F1D42"/>
    <w:rsid w:val="000F2950"/>
    <w:rsid w:val="00105B91"/>
    <w:rsid w:val="0010755F"/>
    <w:rsid w:val="001151CC"/>
    <w:rsid w:val="00121FF1"/>
    <w:rsid w:val="0012720F"/>
    <w:rsid w:val="00127800"/>
    <w:rsid w:val="001376D9"/>
    <w:rsid w:val="00140C67"/>
    <w:rsid w:val="001458F4"/>
    <w:rsid w:val="00145AC5"/>
    <w:rsid w:val="00147A71"/>
    <w:rsid w:val="00153743"/>
    <w:rsid w:val="001607A9"/>
    <w:rsid w:val="001703FF"/>
    <w:rsid w:val="00175EC3"/>
    <w:rsid w:val="00176D6F"/>
    <w:rsid w:val="00193C79"/>
    <w:rsid w:val="00197FDC"/>
    <w:rsid w:val="001A0D13"/>
    <w:rsid w:val="001A36E1"/>
    <w:rsid w:val="001A4086"/>
    <w:rsid w:val="001A5268"/>
    <w:rsid w:val="001A6087"/>
    <w:rsid w:val="001A65F4"/>
    <w:rsid w:val="001B302E"/>
    <w:rsid w:val="001B39EC"/>
    <w:rsid w:val="001B4AAA"/>
    <w:rsid w:val="001B4B5F"/>
    <w:rsid w:val="001C0621"/>
    <w:rsid w:val="001D1FD3"/>
    <w:rsid w:val="001D454B"/>
    <w:rsid w:val="001F1588"/>
    <w:rsid w:val="001F5DFF"/>
    <w:rsid w:val="0021223C"/>
    <w:rsid w:val="002178BD"/>
    <w:rsid w:val="002252A5"/>
    <w:rsid w:val="002257D4"/>
    <w:rsid w:val="002258C3"/>
    <w:rsid w:val="00226510"/>
    <w:rsid w:val="002268C9"/>
    <w:rsid w:val="00227B9A"/>
    <w:rsid w:val="00234196"/>
    <w:rsid w:val="00234644"/>
    <w:rsid w:val="002405A7"/>
    <w:rsid w:val="00242C4F"/>
    <w:rsid w:val="00242FAD"/>
    <w:rsid w:val="00243074"/>
    <w:rsid w:val="002452C9"/>
    <w:rsid w:val="002455B9"/>
    <w:rsid w:val="00254BDC"/>
    <w:rsid w:val="0026013C"/>
    <w:rsid w:val="00261499"/>
    <w:rsid w:val="00262576"/>
    <w:rsid w:val="002627D6"/>
    <w:rsid w:val="002659F7"/>
    <w:rsid w:val="00266B5A"/>
    <w:rsid w:val="0027244A"/>
    <w:rsid w:val="00272969"/>
    <w:rsid w:val="00277E17"/>
    <w:rsid w:val="002A27EA"/>
    <w:rsid w:val="002A3798"/>
    <w:rsid w:val="002A5219"/>
    <w:rsid w:val="002B28CD"/>
    <w:rsid w:val="002B699D"/>
    <w:rsid w:val="002C1880"/>
    <w:rsid w:val="002C25E9"/>
    <w:rsid w:val="002E4504"/>
    <w:rsid w:val="002E4A08"/>
    <w:rsid w:val="002E62ED"/>
    <w:rsid w:val="002F122A"/>
    <w:rsid w:val="002F333C"/>
    <w:rsid w:val="002F52E4"/>
    <w:rsid w:val="00303066"/>
    <w:rsid w:val="00305DB3"/>
    <w:rsid w:val="0031054D"/>
    <w:rsid w:val="00314D00"/>
    <w:rsid w:val="00317F81"/>
    <w:rsid w:val="00320324"/>
    <w:rsid w:val="0032426D"/>
    <w:rsid w:val="0032687C"/>
    <w:rsid w:val="003436EA"/>
    <w:rsid w:val="003459DC"/>
    <w:rsid w:val="00347649"/>
    <w:rsid w:val="00350D4A"/>
    <w:rsid w:val="00360225"/>
    <w:rsid w:val="00362320"/>
    <w:rsid w:val="00363842"/>
    <w:rsid w:val="00367DF5"/>
    <w:rsid w:val="00375E9A"/>
    <w:rsid w:val="003773CC"/>
    <w:rsid w:val="00383319"/>
    <w:rsid w:val="0038368A"/>
    <w:rsid w:val="003911B7"/>
    <w:rsid w:val="0039605B"/>
    <w:rsid w:val="003A0288"/>
    <w:rsid w:val="003A062D"/>
    <w:rsid w:val="003B0990"/>
    <w:rsid w:val="003B3156"/>
    <w:rsid w:val="003B3802"/>
    <w:rsid w:val="003B3831"/>
    <w:rsid w:val="003C6BF3"/>
    <w:rsid w:val="003D0E19"/>
    <w:rsid w:val="003D5AFA"/>
    <w:rsid w:val="003F54D9"/>
    <w:rsid w:val="004015CE"/>
    <w:rsid w:val="00404935"/>
    <w:rsid w:val="00407ADD"/>
    <w:rsid w:val="0042193B"/>
    <w:rsid w:val="00422463"/>
    <w:rsid w:val="00432E84"/>
    <w:rsid w:val="00441746"/>
    <w:rsid w:val="0044190A"/>
    <w:rsid w:val="00442AC5"/>
    <w:rsid w:val="0044394D"/>
    <w:rsid w:val="0044645A"/>
    <w:rsid w:val="00450A8A"/>
    <w:rsid w:val="004520F5"/>
    <w:rsid w:val="004536F5"/>
    <w:rsid w:val="004575BF"/>
    <w:rsid w:val="0045763E"/>
    <w:rsid w:val="00457EE2"/>
    <w:rsid w:val="00460FC1"/>
    <w:rsid w:val="004709EB"/>
    <w:rsid w:val="00475BF0"/>
    <w:rsid w:val="00476C66"/>
    <w:rsid w:val="004801AF"/>
    <w:rsid w:val="00482211"/>
    <w:rsid w:val="00486154"/>
    <w:rsid w:val="004A01D6"/>
    <w:rsid w:val="004A061C"/>
    <w:rsid w:val="004A5ACD"/>
    <w:rsid w:val="004A6F79"/>
    <w:rsid w:val="004C0E69"/>
    <w:rsid w:val="004D2C60"/>
    <w:rsid w:val="004D3514"/>
    <w:rsid w:val="004D7F90"/>
    <w:rsid w:val="004E0135"/>
    <w:rsid w:val="004E0D9D"/>
    <w:rsid w:val="004E2994"/>
    <w:rsid w:val="004E68A9"/>
    <w:rsid w:val="004E6CA9"/>
    <w:rsid w:val="0050133D"/>
    <w:rsid w:val="005016FC"/>
    <w:rsid w:val="00507603"/>
    <w:rsid w:val="0051222D"/>
    <w:rsid w:val="0051311B"/>
    <w:rsid w:val="00516E6A"/>
    <w:rsid w:val="00522D20"/>
    <w:rsid w:val="00530945"/>
    <w:rsid w:val="0053174E"/>
    <w:rsid w:val="005448A0"/>
    <w:rsid w:val="00560DD3"/>
    <w:rsid w:val="00561316"/>
    <w:rsid w:val="00561A31"/>
    <w:rsid w:val="005621D4"/>
    <w:rsid w:val="00562A1B"/>
    <w:rsid w:val="00567C45"/>
    <w:rsid w:val="00571614"/>
    <w:rsid w:val="005744C1"/>
    <w:rsid w:val="0057703F"/>
    <w:rsid w:val="00584CC3"/>
    <w:rsid w:val="005908DC"/>
    <w:rsid w:val="00591A9A"/>
    <w:rsid w:val="005934A5"/>
    <w:rsid w:val="005A098B"/>
    <w:rsid w:val="005B0604"/>
    <w:rsid w:val="005B151C"/>
    <w:rsid w:val="005B470A"/>
    <w:rsid w:val="005B4C50"/>
    <w:rsid w:val="005C187C"/>
    <w:rsid w:val="005C1E40"/>
    <w:rsid w:val="005C251B"/>
    <w:rsid w:val="005C4748"/>
    <w:rsid w:val="005D0FD5"/>
    <w:rsid w:val="005D30A8"/>
    <w:rsid w:val="005D6528"/>
    <w:rsid w:val="005E3B4B"/>
    <w:rsid w:val="005E3DD1"/>
    <w:rsid w:val="005F314D"/>
    <w:rsid w:val="005F71DD"/>
    <w:rsid w:val="006053E8"/>
    <w:rsid w:val="006127F4"/>
    <w:rsid w:val="00617484"/>
    <w:rsid w:val="00617669"/>
    <w:rsid w:val="006220CA"/>
    <w:rsid w:val="0062612E"/>
    <w:rsid w:val="00626252"/>
    <w:rsid w:val="00627856"/>
    <w:rsid w:val="00637C95"/>
    <w:rsid w:val="00642EE4"/>
    <w:rsid w:val="006454C6"/>
    <w:rsid w:val="00645C36"/>
    <w:rsid w:val="006516F4"/>
    <w:rsid w:val="0065622D"/>
    <w:rsid w:val="0065637A"/>
    <w:rsid w:val="006564A0"/>
    <w:rsid w:val="00656781"/>
    <w:rsid w:val="006640AA"/>
    <w:rsid w:val="00666D86"/>
    <w:rsid w:val="00675A59"/>
    <w:rsid w:val="00686428"/>
    <w:rsid w:val="00695D44"/>
    <w:rsid w:val="006A5332"/>
    <w:rsid w:val="006A6C77"/>
    <w:rsid w:val="006B0F7C"/>
    <w:rsid w:val="006B6D28"/>
    <w:rsid w:val="006B7476"/>
    <w:rsid w:val="006B7A2F"/>
    <w:rsid w:val="006C669B"/>
    <w:rsid w:val="006D54D4"/>
    <w:rsid w:val="006D6C33"/>
    <w:rsid w:val="006E3DF7"/>
    <w:rsid w:val="006E4233"/>
    <w:rsid w:val="006E5595"/>
    <w:rsid w:val="006F2DC8"/>
    <w:rsid w:val="006F5097"/>
    <w:rsid w:val="00702744"/>
    <w:rsid w:val="007060E2"/>
    <w:rsid w:val="007121EB"/>
    <w:rsid w:val="00712579"/>
    <w:rsid w:val="00713937"/>
    <w:rsid w:val="00713A03"/>
    <w:rsid w:val="00717F5A"/>
    <w:rsid w:val="0072077B"/>
    <w:rsid w:val="00721A85"/>
    <w:rsid w:val="0072344A"/>
    <w:rsid w:val="00725939"/>
    <w:rsid w:val="007275B5"/>
    <w:rsid w:val="0074061E"/>
    <w:rsid w:val="0074526D"/>
    <w:rsid w:val="00750B86"/>
    <w:rsid w:val="007536D4"/>
    <w:rsid w:val="00761C13"/>
    <w:rsid w:val="0076671A"/>
    <w:rsid w:val="0076681A"/>
    <w:rsid w:val="00770B79"/>
    <w:rsid w:val="00782C9F"/>
    <w:rsid w:val="00784589"/>
    <w:rsid w:val="00785995"/>
    <w:rsid w:val="00790F8A"/>
    <w:rsid w:val="00790FDA"/>
    <w:rsid w:val="00795610"/>
    <w:rsid w:val="0079675C"/>
    <w:rsid w:val="00797107"/>
    <w:rsid w:val="00797768"/>
    <w:rsid w:val="007A4E3D"/>
    <w:rsid w:val="007A521B"/>
    <w:rsid w:val="007A5DBE"/>
    <w:rsid w:val="007B43A7"/>
    <w:rsid w:val="007C08A4"/>
    <w:rsid w:val="007C7221"/>
    <w:rsid w:val="007D4360"/>
    <w:rsid w:val="007D4442"/>
    <w:rsid w:val="007D4E30"/>
    <w:rsid w:val="007E34F0"/>
    <w:rsid w:val="007F064F"/>
    <w:rsid w:val="00800F15"/>
    <w:rsid w:val="00802AC5"/>
    <w:rsid w:val="0080469F"/>
    <w:rsid w:val="00805CCA"/>
    <w:rsid w:val="0081226A"/>
    <w:rsid w:val="008144E4"/>
    <w:rsid w:val="008244F0"/>
    <w:rsid w:val="00834706"/>
    <w:rsid w:val="00845AF6"/>
    <w:rsid w:val="00850754"/>
    <w:rsid w:val="00852197"/>
    <w:rsid w:val="008545F9"/>
    <w:rsid w:val="008729DC"/>
    <w:rsid w:val="0087304D"/>
    <w:rsid w:val="008755C5"/>
    <w:rsid w:val="0088624A"/>
    <w:rsid w:val="00892454"/>
    <w:rsid w:val="00893E03"/>
    <w:rsid w:val="00894245"/>
    <w:rsid w:val="008A046B"/>
    <w:rsid w:val="008A66E8"/>
    <w:rsid w:val="008A7853"/>
    <w:rsid w:val="008B1420"/>
    <w:rsid w:val="008C2C71"/>
    <w:rsid w:val="008D058F"/>
    <w:rsid w:val="008D41C5"/>
    <w:rsid w:val="008D466F"/>
    <w:rsid w:val="008E56B8"/>
    <w:rsid w:val="008E682F"/>
    <w:rsid w:val="008E6B8F"/>
    <w:rsid w:val="008F22E7"/>
    <w:rsid w:val="008F4B32"/>
    <w:rsid w:val="00920A78"/>
    <w:rsid w:val="00935FA1"/>
    <w:rsid w:val="00936D46"/>
    <w:rsid w:val="00940416"/>
    <w:rsid w:val="0095529B"/>
    <w:rsid w:val="00956F44"/>
    <w:rsid w:val="00962F50"/>
    <w:rsid w:val="00974041"/>
    <w:rsid w:val="009769CA"/>
    <w:rsid w:val="00980F0C"/>
    <w:rsid w:val="00985595"/>
    <w:rsid w:val="00986591"/>
    <w:rsid w:val="00993009"/>
    <w:rsid w:val="009A0FA4"/>
    <w:rsid w:val="009A13AA"/>
    <w:rsid w:val="009A2036"/>
    <w:rsid w:val="009A3401"/>
    <w:rsid w:val="009A3CCC"/>
    <w:rsid w:val="009A41BB"/>
    <w:rsid w:val="009A5644"/>
    <w:rsid w:val="009A606E"/>
    <w:rsid w:val="009B1A11"/>
    <w:rsid w:val="009B3132"/>
    <w:rsid w:val="009C2801"/>
    <w:rsid w:val="009D0709"/>
    <w:rsid w:val="009D5BF4"/>
    <w:rsid w:val="009D6D53"/>
    <w:rsid w:val="009E01D3"/>
    <w:rsid w:val="009E108B"/>
    <w:rsid w:val="009E3613"/>
    <w:rsid w:val="009E460A"/>
    <w:rsid w:val="009F2286"/>
    <w:rsid w:val="00A00449"/>
    <w:rsid w:val="00A00EA0"/>
    <w:rsid w:val="00A028EB"/>
    <w:rsid w:val="00A02F64"/>
    <w:rsid w:val="00A03052"/>
    <w:rsid w:val="00A040FD"/>
    <w:rsid w:val="00A07708"/>
    <w:rsid w:val="00A10EB4"/>
    <w:rsid w:val="00A17F6F"/>
    <w:rsid w:val="00A26184"/>
    <w:rsid w:val="00A3236B"/>
    <w:rsid w:val="00A4195E"/>
    <w:rsid w:val="00A5256D"/>
    <w:rsid w:val="00A525B7"/>
    <w:rsid w:val="00A537A8"/>
    <w:rsid w:val="00A557C9"/>
    <w:rsid w:val="00A605AA"/>
    <w:rsid w:val="00A62678"/>
    <w:rsid w:val="00A62E98"/>
    <w:rsid w:val="00A6376E"/>
    <w:rsid w:val="00A640E0"/>
    <w:rsid w:val="00A65220"/>
    <w:rsid w:val="00A66A81"/>
    <w:rsid w:val="00A723DB"/>
    <w:rsid w:val="00A74066"/>
    <w:rsid w:val="00A75CDD"/>
    <w:rsid w:val="00A7768A"/>
    <w:rsid w:val="00A81DC4"/>
    <w:rsid w:val="00A83294"/>
    <w:rsid w:val="00A94C92"/>
    <w:rsid w:val="00A97283"/>
    <w:rsid w:val="00AA0B85"/>
    <w:rsid w:val="00AA6F28"/>
    <w:rsid w:val="00AC0CA6"/>
    <w:rsid w:val="00AC1F0D"/>
    <w:rsid w:val="00AC68C9"/>
    <w:rsid w:val="00AD3E1B"/>
    <w:rsid w:val="00AD461D"/>
    <w:rsid w:val="00AD6ED4"/>
    <w:rsid w:val="00AE1CCC"/>
    <w:rsid w:val="00AF09DE"/>
    <w:rsid w:val="00AF3C10"/>
    <w:rsid w:val="00AF44D7"/>
    <w:rsid w:val="00B02DB7"/>
    <w:rsid w:val="00B02DCE"/>
    <w:rsid w:val="00B11C53"/>
    <w:rsid w:val="00B125A8"/>
    <w:rsid w:val="00B13508"/>
    <w:rsid w:val="00B14765"/>
    <w:rsid w:val="00B14ED8"/>
    <w:rsid w:val="00B1653C"/>
    <w:rsid w:val="00B201DB"/>
    <w:rsid w:val="00B274E6"/>
    <w:rsid w:val="00B27AE5"/>
    <w:rsid w:val="00B35000"/>
    <w:rsid w:val="00B3720B"/>
    <w:rsid w:val="00B41548"/>
    <w:rsid w:val="00B45507"/>
    <w:rsid w:val="00B5115B"/>
    <w:rsid w:val="00B54695"/>
    <w:rsid w:val="00B64892"/>
    <w:rsid w:val="00B66B81"/>
    <w:rsid w:val="00B71895"/>
    <w:rsid w:val="00B738B1"/>
    <w:rsid w:val="00B748B5"/>
    <w:rsid w:val="00B76137"/>
    <w:rsid w:val="00B8019F"/>
    <w:rsid w:val="00B83BCD"/>
    <w:rsid w:val="00B869B8"/>
    <w:rsid w:val="00BA0B19"/>
    <w:rsid w:val="00BB03AA"/>
    <w:rsid w:val="00BB1754"/>
    <w:rsid w:val="00BB2C94"/>
    <w:rsid w:val="00BB6ACC"/>
    <w:rsid w:val="00BC20FE"/>
    <w:rsid w:val="00BC2AB9"/>
    <w:rsid w:val="00BD5C16"/>
    <w:rsid w:val="00BD632F"/>
    <w:rsid w:val="00BE1BDF"/>
    <w:rsid w:val="00BE2A19"/>
    <w:rsid w:val="00BE5EC6"/>
    <w:rsid w:val="00BE60C3"/>
    <w:rsid w:val="00BE6367"/>
    <w:rsid w:val="00BF61B1"/>
    <w:rsid w:val="00C071CA"/>
    <w:rsid w:val="00C10A9B"/>
    <w:rsid w:val="00C1147F"/>
    <w:rsid w:val="00C1343F"/>
    <w:rsid w:val="00C146EB"/>
    <w:rsid w:val="00C213AE"/>
    <w:rsid w:val="00C241DF"/>
    <w:rsid w:val="00C31A79"/>
    <w:rsid w:val="00C34B39"/>
    <w:rsid w:val="00C365C2"/>
    <w:rsid w:val="00C44732"/>
    <w:rsid w:val="00C45FB0"/>
    <w:rsid w:val="00C54DB0"/>
    <w:rsid w:val="00C56F0D"/>
    <w:rsid w:val="00C57C79"/>
    <w:rsid w:val="00C61046"/>
    <w:rsid w:val="00C71BDE"/>
    <w:rsid w:val="00C7218F"/>
    <w:rsid w:val="00C74DEC"/>
    <w:rsid w:val="00C76452"/>
    <w:rsid w:val="00C8158A"/>
    <w:rsid w:val="00C82370"/>
    <w:rsid w:val="00C82FDD"/>
    <w:rsid w:val="00C83416"/>
    <w:rsid w:val="00C84A05"/>
    <w:rsid w:val="00C857F1"/>
    <w:rsid w:val="00C92DB4"/>
    <w:rsid w:val="00CA039D"/>
    <w:rsid w:val="00CA174C"/>
    <w:rsid w:val="00CA625B"/>
    <w:rsid w:val="00CB2107"/>
    <w:rsid w:val="00CB24B0"/>
    <w:rsid w:val="00CB7DEF"/>
    <w:rsid w:val="00CC04D7"/>
    <w:rsid w:val="00CE03C6"/>
    <w:rsid w:val="00CE727F"/>
    <w:rsid w:val="00CF3113"/>
    <w:rsid w:val="00D00B42"/>
    <w:rsid w:val="00D024BE"/>
    <w:rsid w:val="00D26B77"/>
    <w:rsid w:val="00D279B5"/>
    <w:rsid w:val="00D322B9"/>
    <w:rsid w:val="00D32AE5"/>
    <w:rsid w:val="00D33F6E"/>
    <w:rsid w:val="00D440B8"/>
    <w:rsid w:val="00D44143"/>
    <w:rsid w:val="00D4459C"/>
    <w:rsid w:val="00D55136"/>
    <w:rsid w:val="00D554D2"/>
    <w:rsid w:val="00D6066A"/>
    <w:rsid w:val="00D62821"/>
    <w:rsid w:val="00D655FE"/>
    <w:rsid w:val="00D657C7"/>
    <w:rsid w:val="00D76E42"/>
    <w:rsid w:val="00D8015E"/>
    <w:rsid w:val="00D80188"/>
    <w:rsid w:val="00D83828"/>
    <w:rsid w:val="00D869B0"/>
    <w:rsid w:val="00D86FA6"/>
    <w:rsid w:val="00D90758"/>
    <w:rsid w:val="00D9532A"/>
    <w:rsid w:val="00D95755"/>
    <w:rsid w:val="00DA3435"/>
    <w:rsid w:val="00DB203C"/>
    <w:rsid w:val="00DB5077"/>
    <w:rsid w:val="00DC005C"/>
    <w:rsid w:val="00DC2581"/>
    <w:rsid w:val="00DC6DB3"/>
    <w:rsid w:val="00DD4D1D"/>
    <w:rsid w:val="00DE2871"/>
    <w:rsid w:val="00DE5E99"/>
    <w:rsid w:val="00DE6BA5"/>
    <w:rsid w:val="00DF10F5"/>
    <w:rsid w:val="00E02015"/>
    <w:rsid w:val="00E05F92"/>
    <w:rsid w:val="00E0747D"/>
    <w:rsid w:val="00E1334B"/>
    <w:rsid w:val="00E13B8C"/>
    <w:rsid w:val="00E20124"/>
    <w:rsid w:val="00E21926"/>
    <w:rsid w:val="00E232A0"/>
    <w:rsid w:val="00E276A0"/>
    <w:rsid w:val="00E27944"/>
    <w:rsid w:val="00E3066F"/>
    <w:rsid w:val="00E31F6F"/>
    <w:rsid w:val="00E42CC2"/>
    <w:rsid w:val="00E43636"/>
    <w:rsid w:val="00E479A1"/>
    <w:rsid w:val="00E513BA"/>
    <w:rsid w:val="00E52B3F"/>
    <w:rsid w:val="00E57AC1"/>
    <w:rsid w:val="00E62E74"/>
    <w:rsid w:val="00E631B7"/>
    <w:rsid w:val="00E653DC"/>
    <w:rsid w:val="00E65BA9"/>
    <w:rsid w:val="00E67DA3"/>
    <w:rsid w:val="00E71EDB"/>
    <w:rsid w:val="00E72927"/>
    <w:rsid w:val="00E75ED7"/>
    <w:rsid w:val="00E77408"/>
    <w:rsid w:val="00E83837"/>
    <w:rsid w:val="00E87709"/>
    <w:rsid w:val="00E90A7A"/>
    <w:rsid w:val="00E93BDD"/>
    <w:rsid w:val="00E9465E"/>
    <w:rsid w:val="00E96478"/>
    <w:rsid w:val="00EA3DBC"/>
    <w:rsid w:val="00EA3DE6"/>
    <w:rsid w:val="00EA430D"/>
    <w:rsid w:val="00EA618F"/>
    <w:rsid w:val="00EA7662"/>
    <w:rsid w:val="00EA76CA"/>
    <w:rsid w:val="00EA7DB2"/>
    <w:rsid w:val="00EB2224"/>
    <w:rsid w:val="00EB2540"/>
    <w:rsid w:val="00EC4C6B"/>
    <w:rsid w:val="00EC5691"/>
    <w:rsid w:val="00EC7522"/>
    <w:rsid w:val="00ED03BF"/>
    <w:rsid w:val="00ED4490"/>
    <w:rsid w:val="00EF1EB4"/>
    <w:rsid w:val="00EF76FD"/>
    <w:rsid w:val="00F102E0"/>
    <w:rsid w:val="00F12086"/>
    <w:rsid w:val="00F1259D"/>
    <w:rsid w:val="00F14CCB"/>
    <w:rsid w:val="00F31A82"/>
    <w:rsid w:val="00F3204C"/>
    <w:rsid w:val="00F33BDD"/>
    <w:rsid w:val="00F35DD3"/>
    <w:rsid w:val="00F35F34"/>
    <w:rsid w:val="00F3773A"/>
    <w:rsid w:val="00F41F72"/>
    <w:rsid w:val="00F43139"/>
    <w:rsid w:val="00F533B6"/>
    <w:rsid w:val="00F64A48"/>
    <w:rsid w:val="00F70898"/>
    <w:rsid w:val="00F72B44"/>
    <w:rsid w:val="00F81183"/>
    <w:rsid w:val="00F818BB"/>
    <w:rsid w:val="00F854FF"/>
    <w:rsid w:val="00F90D47"/>
    <w:rsid w:val="00F9138D"/>
    <w:rsid w:val="00FA372E"/>
    <w:rsid w:val="00FA5492"/>
    <w:rsid w:val="00FB36F1"/>
    <w:rsid w:val="00FB552A"/>
    <w:rsid w:val="00FF1B9D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65CE0"/>
  <w15:docId w15:val="{7C43D4DF-9B02-435A-A955-2B898FE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B"/>
    <w:rPr>
      <w:sz w:val="0"/>
      <w:sz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B699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699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699D"/>
    <w:rPr>
      <w:b/>
      <w:lang w:eastAsia="zh-CN"/>
    </w:rPr>
  </w:style>
  <w:style w:type="paragraph" w:styleId="ListParagraph">
    <w:name w:val="List Paragraph"/>
    <w:basedOn w:val="Normal"/>
    <w:uiPriority w:val="34"/>
    <w:qFormat/>
    <w:rsid w:val="00852197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rsid w:val="00D86FA6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D86FA6"/>
    <w:rPr>
      <w:rFonts w:eastAsia="Times New Roman"/>
      <w:sz w:val="20"/>
      <w:szCs w:val="20"/>
      <w:lang w:val="en-GB" w:eastAsia="en-US"/>
    </w:rPr>
  </w:style>
  <w:style w:type="character" w:styleId="FootnoteReference">
    <w:name w:val="footnote reference"/>
    <w:aliases w:val="4_G,ftref,a Footnote Reference,FZ,Appel note de bas de page,Footnotes refss,Footnote number,BVI fnr (文字) (文字) Char (文字) Char Char1 Char Char Char Char Char Char Char1 Char Char Char1 Char Char,Footnote Ref,16 Point,Superscript 6 Point"/>
    <w:link w:val="CharChar1CharCharCharChar1CharCharCharCharCharCharCharCharCharCharCharCharCharCharCharChar"/>
    <w:uiPriority w:val="99"/>
    <w:qFormat/>
    <w:rsid w:val="00D655FE"/>
    <w:rPr>
      <w:sz w:val="18"/>
      <w:vertAlign w:val="superscript"/>
    </w:rPr>
  </w:style>
  <w:style w:type="paragraph" w:styleId="FootnoteText">
    <w:name w:val="footnote text"/>
    <w:aliases w:val="5_G,Sharp - Footnote Text,Footnote Text - Sharp Char Char,Footnote Text - Sharp Char,single space,footnote text,Char,Char Char Char Char Char Char,Char Char Char Char,Footnote Text Char1 Char,Char Char2,Char Char Char Char1,fn,Char Cha,ft"/>
    <w:basedOn w:val="Normal"/>
    <w:link w:val="FootnoteTextChar1"/>
    <w:uiPriority w:val="99"/>
    <w:qFormat/>
    <w:rsid w:val="00D655FE"/>
    <w:pPr>
      <w:suppressAutoHyphens/>
      <w:spacing w:line="220" w:lineRule="exact"/>
      <w:ind w:left="567" w:right="1134"/>
    </w:pPr>
    <w:rPr>
      <w:rFonts w:eastAsia="MS Mincho"/>
      <w:sz w:val="18"/>
      <w:szCs w:val="20"/>
      <w:lang w:val="x-none" w:eastAsia="x-none"/>
    </w:rPr>
  </w:style>
  <w:style w:type="character" w:customStyle="1" w:styleId="FootnoteTextChar">
    <w:name w:val="Footnote Text Char"/>
    <w:aliases w:val="5_G Char1,Sharp - Footnote Text Char1,Footnote Text - Sharp Char Char Char1,Footnote Text - Sharp Char Char2,single space Char1,Char Char1,Char Char Char Char Char Char Char1,Char Char Char Char Char1,Footnote Text Char1 Char Char"/>
    <w:basedOn w:val="DefaultParagraphFont"/>
    <w:uiPriority w:val="99"/>
    <w:rsid w:val="00D655FE"/>
    <w:rPr>
      <w:sz w:val="20"/>
      <w:szCs w:val="20"/>
    </w:rPr>
  </w:style>
  <w:style w:type="character" w:customStyle="1" w:styleId="FootnoteTextChar1">
    <w:name w:val="Footnote Text Char1"/>
    <w:aliases w:val="5_G Char,Sharp - Footnote Text Char,Footnote Text - Sharp Char Char Char,Footnote Text - Sharp Char Char1,single space Char,footnote text Char,Char Char,Char Char Char Char Char Char Char,Char Char Char Char Char,Char Char2 Char"/>
    <w:link w:val="FootnoteText"/>
    <w:uiPriority w:val="99"/>
    <w:rsid w:val="00D655FE"/>
    <w:rPr>
      <w:rFonts w:eastAsia="MS Mincho"/>
      <w:sz w:val="18"/>
      <w:szCs w:val="20"/>
      <w:lang w:val="x-none" w:eastAsia="x-none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uiPriority w:val="99"/>
    <w:qFormat/>
    <w:rsid w:val="00D655FE"/>
    <w:pPr>
      <w:spacing w:after="160" w:line="240" w:lineRule="exact"/>
    </w:pPr>
    <w:rPr>
      <w:sz w:val="18"/>
      <w:szCs w:val="22"/>
      <w:vertAlign w:val="superscript"/>
    </w:rPr>
  </w:style>
  <w:style w:type="paragraph" w:customStyle="1" w:styleId="xmsonormal">
    <w:name w:val="x_msonormal"/>
    <w:basedOn w:val="Normal"/>
    <w:uiPriority w:val="99"/>
    <w:rsid w:val="00BB1754"/>
    <w:rPr>
      <w:rFonts w:eastAsiaTheme="minorHAnsi"/>
      <w:lang w:val="en-GB" w:eastAsia="en-GB"/>
    </w:rPr>
  </w:style>
  <w:style w:type="paragraph" w:styleId="Revision">
    <w:name w:val="Revision"/>
    <w:hidden/>
    <w:uiPriority w:val="99"/>
    <w:semiHidden/>
    <w:rsid w:val="00AF3C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CF9-69FE-4135-AABD-9B641039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08A79-A2C1-4AE1-AFF4-B63E44B9D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238CB-CAC8-45D0-93BD-A0DF70998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CC7C8-1E8A-4370-A2DA-D185836B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before you my first periodic report mandated by Council resolution S-9/1 (para</vt:lpstr>
    </vt:vector>
  </TitlesOfParts>
  <Company>International Computing Centre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before you my first periodic report mandated by Council resolution S-9/1 (para</dc:title>
  <dc:creator>OHCHR</dc:creator>
  <cp:lastModifiedBy>Sarah Willig</cp:lastModifiedBy>
  <cp:revision>2</cp:revision>
  <cp:lastPrinted>2016-03-21T07:56:00Z</cp:lastPrinted>
  <dcterms:created xsi:type="dcterms:W3CDTF">2018-03-20T09:10:00Z</dcterms:created>
  <dcterms:modified xsi:type="dcterms:W3CDTF">2018-03-20T09:10:00Z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