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50C9C" w:rsidRDefault="00250C9C">
      <w:pPr>
        <w:rPr>
          <w:rFonts w:cs="Times New Roman"/>
          <w:bCs/>
          <w:color w:val="111111"/>
          <w:sz w:val="40"/>
          <w:szCs w:val="40"/>
          <w:shd w:val="clear" w:color="auto" w:fill="FFFFFF"/>
        </w:rPr>
      </w:pPr>
      <w:r w:rsidRPr="00250C9C">
        <w:rPr>
          <w:rFonts w:cs="Times New Roman"/>
          <w:bCs/>
          <w:color w:val="111111"/>
          <w:sz w:val="40"/>
          <w:szCs w:val="40"/>
          <w:shd w:val="clear" w:color="auto" w:fill="FFFFFF"/>
        </w:rPr>
        <w:t xml:space="preserve">From Durban to The Hague: 20 Years of NGO </w:t>
      </w:r>
      <w:proofErr w:type="spellStart"/>
      <w:r w:rsidRPr="00250C9C">
        <w:rPr>
          <w:rFonts w:cs="Times New Roman"/>
          <w:bCs/>
          <w:color w:val="111111"/>
          <w:sz w:val="40"/>
          <w:szCs w:val="40"/>
          <w:shd w:val="clear" w:color="auto" w:fill="FFFFFF"/>
        </w:rPr>
        <w:t>Lawfare</w:t>
      </w:r>
      <w:proofErr w:type="spellEnd"/>
    </w:p>
    <w:p w:rsidR="00250C9C" w:rsidRPr="00250C9C" w:rsidRDefault="00250C9C" w:rsidP="00250C9C">
      <w:pPr>
        <w:spacing w:after="0" w:line="240" w:lineRule="auto"/>
        <w:rPr>
          <w:rFonts w:cs="Times New Roman"/>
          <w:bCs/>
          <w:color w:val="111111"/>
          <w:szCs w:val="24"/>
          <w:shd w:val="clear" w:color="auto" w:fill="FFFFFF"/>
        </w:rPr>
      </w:pPr>
      <w:r w:rsidRPr="00250C9C">
        <w:rPr>
          <w:rFonts w:cs="Times New Roman"/>
          <w:bCs/>
          <w:color w:val="111111"/>
          <w:szCs w:val="24"/>
          <w:shd w:val="clear" w:color="auto" w:fill="FFFFFF"/>
        </w:rPr>
        <w:t>March 9, 2021</w:t>
      </w:r>
    </w:p>
    <w:p w:rsidR="00250C9C" w:rsidRPr="00250C9C" w:rsidRDefault="00250C9C" w:rsidP="00250C9C">
      <w:pPr>
        <w:shd w:val="clear" w:color="auto" w:fill="FFFFFF"/>
        <w:spacing w:after="0" w:line="240" w:lineRule="auto"/>
        <w:textAlignment w:val="center"/>
        <w:rPr>
          <w:rFonts w:eastAsia="Times New Roman" w:cs="Times New Roman"/>
          <w:color w:val="444444"/>
          <w:szCs w:val="24"/>
        </w:rPr>
      </w:pPr>
      <w:r w:rsidRPr="00250C9C">
        <w:rPr>
          <w:rFonts w:eastAsia="Times New Roman" w:cs="Times New Roman"/>
          <w:color w:val="444444"/>
          <w:szCs w:val="24"/>
        </w:rPr>
        <w:t xml:space="preserve">By </w:t>
      </w:r>
      <w:hyperlink r:id="rId4" w:history="1">
        <w:r w:rsidRPr="00250C9C">
          <w:rPr>
            <w:rFonts w:eastAsia="Times New Roman" w:cs="Times New Roman"/>
            <w:bCs/>
            <w:color w:val="000000"/>
            <w:szCs w:val="24"/>
            <w:u w:val="single"/>
          </w:rPr>
          <w:t>Gerald M. Steinberg</w:t>
        </w:r>
      </w:hyperlink>
    </w:p>
    <w:p w:rsidR="00250C9C" w:rsidRPr="00250C9C" w:rsidRDefault="00250C9C" w:rsidP="00250C9C">
      <w:pPr>
        <w:shd w:val="clear" w:color="auto" w:fill="FFFFFF"/>
        <w:spacing w:after="0" w:line="240" w:lineRule="auto"/>
        <w:textAlignment w:val="center"/>
        <w:rPr>
          <w:rFonts w:eastAsia="Times New Roman" w:cs="Times New Roman"/>
          <w:color w:val="444444"/>
          <w:szCs w:val="24"/>
        </w:rPr>
      </w:pPr>
      <w:r w:rsidRPr="00250C9C">
        <w:rPr>
          <w:rFonts w:eastAsia="Times New Roman" w:cs="Times New Roman"/>
          <w:color w:val="444444"/>
          <w:szCs w:val="24"/>
        </w:rPr>
        <w:t>The Jewish Journal</w:t>
      </w:r>
    </w:p>
    <w:p w:rsidR="00250C9C" w:rsidRPr="00250C9C" w:rsidRDefault="00250C9C" w:rsidP="00250C9C">
      <w:pPr>
        <w:shd w:val="clear" w:color="auto" w:fill="FFFFFF"/>
        <w:spacing w:after="0" w:line="240" w:lineRule="auto"/>
        <w:textAlignment w:val="center"/>
        <w:rPr>
          <w:rFonts w:eastAsia="Times New Roman" w:cs="Times New Roman"/>
          <w:color w:val="444444"/>
          <w:szCs w:val="24"/>
        </w:rPr>
      </w:pPr>
      <w:hyperlink r:id="rId5" w:history="1">
        <w:r w:rsidRPr="00250C9C">
          <w:rPr>
            <w:rStyle w:val="Hyperlink"/>
            <w:rFonts w:eastAsia="Times New Roman" w:cs="Times New Roman"/>
            <w:szCs w:val="24"/>
          </w:rPr>
          <w:t>https://jewishjournal.com/commentary/334018/from-durban-to-the-hague-20-years-of-ngo-lawfare/</w:t>
        </w:r>
      </w:hyperlink>
    </w:p>
    <w:p w:rsidR="00250C9C" w:rsidRDefault="00250C9C" w:rsidP="00250C9C">
      <w:pPr>
        <w:pStyle w:val="NormalWeb"/>
        <w:shd w:val="clear" w:color="auto" w:fill="FFFFFF"/>
        <w:spacing w:before="0" w:beforeAutospacing="0" w:after="390" w:afterAutospacing="0"/>
        <w:rPr>
          <w:color w:val="222222"/>
        </w:rPr>
      </w:pPr>
      <w:bookmarkStart w:id="0" w:name="_GoBack"/>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The announcement by the prosecutor of the International Criminal Court (ICC) that she was opening investigations against Israel for alleged war crimes should not have been a surprise. This was the culmination of a twenty-year political campaign that began even before the ICC opened its doors in The Hague in 2002. Leaders of this effort have long prepared to use the ICC and the façade of international law to extend the soft-power targeting of Israel.</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The strategy was launched during the NGO Forum of the 2001 UN Durban conference, in which 5000 delegates </w:t>
      </w:r>
      <w:hyperlink r:id="rId6" w:tgtFrame="_blank" w:history="1">
        <w:r w:rsidRPr="00250C9C">
          <w:rPr>
            <w:rStyle w:val="Hyperlink"/>
            <w:bCs/>
            <w:color w:val="1C3073"/>
          </w:rPr>
          <w:t>condemned</w:t>
        </w:r>
      </w:hyperlink>
      <w:r w:rsidRPr="00250C9C">
        <w:rPr>
          <w:color w:val="222222"/>
        </w:rPr>
        <w:t> the “Israeli systematic perpetration of racist crimes, including war crimes, acts of genocide and ethnic cleansing.” Reviving the language of the odious 1975 UN resolution that labeled Zionism as racism, the forum’s final declaration made numerous references to an entirely invented version of international law, such as a Palestinian “right of resistance” (often manifesting as terror), mixed with the language of the Rome Statute that is the foundational document of the International Criminal Court.</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At the time, the Israeli government did not take this threat seriously. The powerful NGOs that played central roles in Durban were not on the Israeli Foreign Ministry’s radar. The ICC was still a vague framework, and Israel, like the United States, Russia and China, was not a member. In addition, the Palestinian Authority was not a state and, according to the Rome Statute, did not have standing to initiate a complaint.</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 xml:space="preserve">But this network of NGOs, in cooperation with the Palestinian leadership, pursued an ICC investigation — known as </w:t>
      </w:r>
      <w:proofErr w:type="spellStart"/>
      <w:r w:rsidRPr="00250C9C">
        <w:rPr>
          <w:color w:val="222222"/>
        </w:rPr>
        <w:t>lawfare</w:t>
      </w:r>
      <w:proofErr w:type="spellEnd"/>
      <w:r w:rsidRPr="00250C9C">
        <w:rPr>
          <w:color w:val="222222"/>
        </w:rPr>
        <w:t xml:space="preserve"> — with great intensity, spending tens of millions of Euros, Pounds and Krona. Human Rights Watch played a central role from the beginning, joined by Amnesty International, numerous Palestinian NGOs with ties to the PLO and PFLP terrorist groups and a number of Israeli groups claiming to promote human rights.</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European governments provided much of the NGO funding for this campaign. Four Palestinian organizations — </w:t>
      </w:r>
      <w:hyperlink r:id="rId7" w:tgtFrame="_blank" w:history="1">
        <w:r w:rsidRPr="00250C9C">
          <w:rPr>
            <w:rStyle w:val="Hyperlink"/>
            <w:bCs/>
            <w:color w:val="1C3073"/>
          </w:rPr>
          <w:t>Al-Haq</w:t>
        </w:r>
      </w:hyperlink>
      <w:r w:rsidRPr="00250C9C">
        <w:rPr>
          <w:color w:val="222222"/>
        </w:rPr>
        <w:t>, Al-</w:t>
      </w:r>
      <w:proofErr w:type="spellStart"/>
      <w:r w:rsidRPr="00250C9C">
        <w:rPr>
          <w:color w:val="222222"/>
        </w:rPr>
        <w:t>Dameer</w:t>
      </w:r>
      <w:proofErr w:type="spellEnd"/>
      <w:r w:rsidRPr="00250C9C">
        <w:rPr>
          <w:color w:val="222222"/>
        </w:rPr>
        <w:t>, PCHR and Al-</w:t>
      </w:r>
      <w:proofErr w:type="spellStart"/>
      <w:r w:rsidRPr="00250C9C">
        <w:rPr>
          <w:color w:val="222222"/>
        </w:rPr>
        <w:t>Mezan</w:t>
      </w:r>
      <w:proofErr w:type="spellEnd"/>
      <w:r w:rsidRPr="00250C9C">
        <w:rPr>
          <w:color w:val="222222"/>
        </w:rPr>
        <w:t xml:space="preserve"> — </w:t>
      </w:r>
      <w:hyperlink r:id="rId8" w:tgtFrame="_blank" w:history="1">
        <w:r w:rsidRPr="00250C9C">
          <w:rPr>
            <w:rStyle w:val="Hyperlink"/>
            <w:bCs/>
            <w:color w:val="1C3073"/>
          </w:rPr>
          <w:t>received millions in direct funding</w:t>
        </w:r>
      </w:hyperlink>
      <w:r w:rsidRPr="00250C9C">
        <w:rPr>
          <w:color w:val="222222"/>
        </w:rPr>
        <w:t> from Switzerland, Holland, Sweden and Demark to compile allegations of Israeli violations of international law to present to the ICC. Other Palestinian and Israeli NGOs are funded for similar projects related to </w:t>
      </w:r>
      <w:hyperlink r:id="rId9" w:tgtFrame="_blank" w:history="1">
        <w:r w:rsidRPr="00250C9C">
          <w:rPr>
            <w:rStyle w:val="Hyperlink"/>
            <w:bCs/>
            <w:color w:val="1C3073"/>
          </w:rPr>
          <w:t>“support for international law”</w:t>
        </w:r>
      </w:hyperlink>
      <w:r w:rsidRPr="00250C9C">
        <w:rPr>
          <w:color w:val="222222"/>
        </w:rPr>
        <w:t xml:space="preserve"> by the Netherlands, Germany, the European Union (EU), Ireland and others. (The EU, the UN and the Canadian government were also the main funders of the Durban NGO Forum.) While European officials issued statements opposing the politicization of the ICC for anti-Israel </w:t>
      </w:r>
      <w:proofErr w:type="spellStart"/>
      <w:r w:rsidRPr="00250C9C">
        <w:rPr>
          <w:color w:val="222222"/>
        </w:rPr>
        <w:t>lawfare</w:t>
      </w:r>
      <w:proofErr w:type="spellEnd"/>
      <w:r w:rsidRPr="00250C9C">
        <w:rPr>
          <w:color w:val="222222"/>
        </w:rPr>
        <w:t>, they continued to fund the NGO leaders of this process.</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lastRenderedPageBreak/>
        <w:t>It was only after the UN Human Rights Council’s 2009 Goldstone Report on Gaza repeated the NGO’s accusations and threatened a referral to the ICC that the Israeli government began paying attention to this campaign. Israel’s Foreign and Defense Ministries published rebuttals of the accusations mentioned in the report. In parallel, Goldstone was confronted with the unsubstantiated claims and inconsistencies that characterized his report. (He later acknowledged these failures, but the damage was done, and the campaign gained momentum and visibility.)</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 xml:space="preserve">Supported by the NGO network, Palestinians gained UN General Assembly approval for calling themselves a state in 2014, despite the absence of the necessary criteria (such as a government in total control of a defined territory) and immediately used this dubious achievement to join the ICC and file complaints against Israel. In 2015, ICC prosecutor </w:t>
      </w:r>
      <w:proofErr w:type="spellStart"/>
      <w:r w:rsidRPr="00250C9C">
        <w:rPr>
          <w:color w:val="222222"/>
        </w:rPr>
        <w:t>Fatou</w:t>
      </w:r>
      <w:proofErr w:type="spellEnd"/>
      <w:r w:rsidRPr="00250C9C">
        <w:rPr>
          <w:color w:val="222222"/>
        </w:rPr>
        <w:t xml:space="preserve"> </w:t>
      </w:r>
      <w:proofErr w:type="spellStart"/>
      <w:r w:rsidRPr="00250C9C">
        <w:rPr>
          <w:color w:val="222222"/>
        </w:rPr>
        <w:t>Bensouda</w:t>
      </w:r>
      <w:proofErr w:type="spellEnd"/>
      <w:r w:rsidRPr="00250C9C">
        <w:rPr>
          <w:color w:val="222222"/>
        </w:rPr>
        <w:t xml:space="preserve"> announced that she would consider jurisdiction. The Israeli government focused on convincing her to reject the Palestinian claims to statehood and on highlighting the integrity of Israel’s legal system. In theory, this should have prevented ICC involvement according to the Rome Statute, which states that ICC is only authorized to intervene (or “complement”) national courts in situations in which the states involved lack the ability to bring suspected war criminals to trial.</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 xml:space="preserve">In practice, Israel’s claims were insufficient in the face of the powerful political forces promoting the </w:t>
      </w:r>
      <w:proofErr w:type="spellStart"/>
      <w:r w:rsidRPr="00250C9C">
        <w:rPr>
          <w:color w:val="222222"/>
        </w:rPr>
        <w:t>lawfare</w:t>
      </w:r>
      <w:proofErr w:type="spellEnd"/>
      <w:r w:rsidRPr="00250C9C">
        <w:rPr>
          <w:color w:val="222222"/>
        </w:rPr>
        <w:t xml:space="preserve"> strategy. In December 2019, </w:t>
      </w:r>
      <w:proofErr w:type="spellStart"/>
      <w:r w:rsidRPr="00250C9C">
        <w:rPr>
          <w:color w:val="222222"/>
        </w:rPr>
        <w:t>Bensouda</w:t>
      </w:r>
      <w:proofErr w:type="spellEnd"/>
      <w:r w:rsidRPr="00250C9C">
        <w:rPr>
          <w:color w:val="222222"/>
        </w:rPr>
        <w:t xml:space="preserve"> claimed jurisdiction and “a reasonable basis” for investigating possible Israeli war crimes, and in February 2021, after two of the three judges who reviewed her claims declared their approval, she moved quickly to open a formal investigation.</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Major damage in the form of demonization of Israel has already been done, but if enough counter-pressure can be applied, including by negating the power and resources of the NGOs behind this process, the ICC travesty might be stopped. The current prosecutor is finishing her term, and her successor, Karim Khan, from the United Kingdom, might be persuaded to halt the pseudo-investigations, particularly if the survival of the ICC is at stake.</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In parallel, European funders of the campaign must be confronted directly and consistently. Anyone who is concerned about the abuse of the ICC for political campaigns, including Americans and Israelis, should demand to end the demonization under the façade of human rights and international law. Germany, for instance, is one of the main funders of the ICC and the largest single supporter of the NGOs leading the campaigns. The absurdity of German funding for anti-Israel NGOs has not yet received the necessary priority.</w:t>
      </w:r>
    </w:p>
    <w:p w:rsidR="00250C9C" w:rsidRPr="00250C9C" w:rsidRDefault="00250C9C" w:rsidP="00250C9C">
      <w:pPr>
        <w:pStyle w:val="NormalWeb"/>
        <w:shd w:val="clear" w:color="auto" w:fill="FFFFFF"/>
        <w:spacing w:before="0" w:beforeAutospacing="0" w:after="390" w:afterAutospacing="0"/>
        <w:rPr>
          <w:color w:val="222222"/>
        </w:rPr>
      </w:pPr>
      <w:r w:rsidRPr="00250C9C">
        <w:rPr>
          <w:color w:val="222222"/>
        </w:rPr>
        <w:t xml:space="preserve">September 2021 will mark the twentieth anniversary of the UN’s anti-Semitic Durban conference and the NGO Forum, where both ICC </w:t>
      </w:r>
      <w:proofErr w:type="spellStart"/>
      <w:r w:rsidRPr="00250C9C">
        <w:rPr>
          <w:color w:val="222222"/>
        </w:rPr>
        <w:t>lawfare</w:t>
      </w:r>
      <w:proofErr w:type="spellEnd"/>
      <w:r w:rsidRPr="00250C9C">
        <w:rPr>
          <w:color w:val="222222"/>
        </w:rPr>
        <w:t xml:space="preserve"> and the BDS campaigns against Israel were launched. The best way to mark this date is to ensure that the perpetrators and their allies have nothing to celebrate.</w:t>
      </w:r>
    </w:p>
    <w:p w:rsidR="00250C9C" w:rsidRPr="00250C9C" w:rsidRDefault="00250C9C" w:rsidP="00250C9C">
      <w:pPr>
        <w:shd w:val="clear" w:color="auto" w:fill="FFFFFF"/>
        <w:spacing w:line="450" w:lineRule="atLeast"/>
        <w:textAlignment w:val="center"/>
        <w:rPr>
          <w:rFonts w:eastAsia="Times New Roman" w:cs="Times New Roman"/>
          <w:color w:val="444444"/>
          <w:szCs w:val="24"/>
        </w:rPr>
      </w:pPr>
    </w:p>
    <w:p w:rsidR="00250C9C" w:rsidRPr="00250C9C" w:rsidRDefault="00250C9C">
      <w:pPr>
        <w:rPr>
          <w:rFonts w:cs="Times New Roman"/>
          <w:szCs w:val="24"/>
        </w:rPr>
      </w:pPr>
    </w:p>
    <w:bookmarkEnd w:id="0"/>
    <w:p w:rsidR="00250C9C" w:rsidRPr="00250C9C" w:rsidRDefault="00250C9C">
      <w:pPr>
        <w:rPr>
          <w:rFonts w:cs="Times New Roman"/>
          <w:szCs w:val="24"/>
        </w:rPr>
      </w:pPr>
    </w:p>
    <w:sectPr w:rsidR="00250C9C" w:rsidRPr="0025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9C"/>
    <w:rsid w:val="00250C9C"/>
    <w:rsid w:val="00421E2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44F3"/>
  <w15:chartTrackingRefBased/>
  <w15:docId w15:val="{51849604-20EA-488D-B090-4B9E7986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b-author-by">
    <w:name w:val="tdb-author-by"/>
    <w:basedOn w:val="DefaultParagraphFont"/>
    <w:rsid w:val="00250C9C"/>
  </w:style>
  <w:style w:type="character" w:styleId="Hyperlink">
    <w:name w:val="Hyperlink"/>
    <w:basedOn w:val="DefaultParagraphFont"/>
    <w:uiPriority w:val="99"/>
    <w:unhideWhenUsed/>
    <w:rsid w:val="00250C9C"/>
    <w:rPr>
      <w:color w:val="0000FF"/>
      <w:u w:val="single"/>
    </w:rPr>
  </w:style>
  <w:style w:type="paragraph" w:styleId="NormalWeb">
    <w:name w:val="Normal (Web)"/>
    <w:basedOn w:val="Normal"/>
    <w:uiPriority w:val="99"/>
    <w:semiHidden/>
    <w:unhideWhenUsed/>
    <w:rsid w:val="00250C9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5742">
      <w:bodyDiv w:val="1"/>
      <w:marLeft w:val="0"/>
      <w:marRight w:val="0"/>
      <w:marTop w:val="0"/>
      <w:marBottom w:val="0"/>
      <w:divBdr>
        <w:top w:val="none" w:sz="0" w:space="0" w:color="auto"/>
        <w:left w:val="none" w:sz="0" w:space="0" w:color="auto"/>
        <w:bottom w:val="none" w:sz="0" w:space="0" w:color="auto"/>
        <w:right w:val="none" w:sz="0" w:space="0" w:color="auto"/>
      </w:divBdr>
      <w:divsChild>
        <w:div w:id="972905014">
          <w:marLeft w:val="0"/>
          <w:marRight w:val="0"/>
          <w:marTop w:val="0"/>
          <w:marBottom w:val="240"/>
          <w:divBdr>
            <w:top w:val="none" w:sz="0" w:space="0" w:color="auto"/>
            <w:left w:val="none" w:sz="0" w:space="0" w:color="auto"/>
            <w:bottom w:val="none" w:sz="0" w:space="0" w:color="auto"/>
            <w:right w:val="none" w:sz="0" w:space="0" w:color="auto"/>
          </w:divBdr>
          <w:divsChild>
            <w:div w:id="1798570716">
              <w:marLeft w:val="0"/>
              <w:marRight w:val="0"/>
              <w:marTop w:val="0"/>
              <w:marBottom w:val="0"/>
              <w:divBdr>
                <w:top w:val="none" w:sz="0" w:space="0" w:color="auto"/>
                <w:left w:val="none" w:sz="0" w:space="0" w:color="auto"/>
                <w:bottom w:val="none" w:sz="0" w:space="0" w:color="auto"/>
                <w:right w:val="none" w:sz="0" w:space="0" w:color="auto"/>
              </w:divBdr>
              <w:divsChild>
                <w:div w:id="16059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9330">
      <w:bodyDiv w:val="1"/>
      <w:marLeft w:val="0"/>
      <w:marRight w:val="0"/>
      <w:marTop w:val="0"/>
      <w:marBottom w:val="0"/>
      <w:divBdr>
        <w:top w:val="none" w:sz="0" w:space="0" w:color="auto"/>
        <w:left w:val="none" w:sz="0" w:space="0" w:color="auto"/>
        <w:bottom w:val="none" w:sz="0" w:space="0" w:color="auto"/>
        <w:right w:val="none" w:sz="0" w:space="0" w:color="auto"/>
      </w:divBdr>
    </w:div>
    <w:div w:id="17063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o-monitor.org/funder/human_rights_and_international_humanitarian_law_secretariat_denmark_sweden_switzerland_and_the_netherlands0/" TargetMode="External"/><Relationship Id="rId3" Type="http://schemas.openxmlformats.org/officeDocument/2006/relationships/webSettings" Target="webSettings.xml"/><Relationship Id="rId7" Type="http://schemas.openxmlformats.org/officeDocument/2006/relationships/hyperlink" Target="https://ec.europa.eu/budget/fts/index_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rights.or.jp/wcar/E/ngofinaldc.htm" TargetMode="External"/><Relationship Id="rId11" Type="http://schemas.openxmlformats.org/officeDocument/2006/relationships/theme" Target="theme/theme1.xml"/><Relationship Id="rId5" Type="http://schemas.openxmlformats.org/officeDocument/2006/relationships/hyperlink" Target="https://jewishjournal.com/commentary/334018/from-durban-to-the-hague-20-years-of-ngo-lawfare/" TargetMode="External"/><Relationship Id="rId10" Type="http://schemas.openxmlformats.org/officeDocument/2006/relationships/fontTable" Target="fontTable.xml"/><Relationship Id="rId4" Type="http://schemas.openxmlformats.org/officeDocument/2006/relationships/hyperlink" Target="https://jewishjournal.com/author/geraldmsteinberg/" TargetMode="External"/><Relationship Id="rId9" Type="http://schemas.openxmlformats.org/officeDocument/2006/relationships/hyperlink" Target="https://www.ngo-monitor.org/nm/wp-content/uploads/2021/03/Yesh-Din-activity-appraisal-document-40000016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2021-03-09T21:44:00Z</dcterms:created>
  <dcterms:modified xsi:type="dcterms:W3CDTF">2021-03-09T23:23:00Z</dcterms:modified>
</cp:coreProperties>
</file>