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097529" w:rsidRDefault="008A5395">
      <w:pPr>
        <w:rPr>
          <w:rFonts w:ascii="Arial" w:hAnsi="Arial" w:cs="Arial"/>
          <w:sz w:val="44"/>
          <w:szCs w:val="44"/>
        </w:rPr>
      </w:pPr>
      <w:r w:rsidRPr="00097529">
        <w:rPr>
          <w:rFonts w:ascii="Arial" w:hAnsi="Arial" w:cs="Arial"/>
          <w:sz w:val="44"/>
          <w:szCs w:val="44"/>
        </w:rPr>
        <w:t>International Criminal Court P</w:t>
      </w:r>
      <w:r w:rsidRPr="00097529">
        <w:rPr>
          <w:rFonts w:ascii="Arial" w:hAnsi="Arial" w:cs="Arial"/>
          <w:sz w:val="44"/>
          <w:szCs w:val="44"/>
        </w:rPr>
        <w:t xml:space="preserve">lanning to </w:t>
      </w:r>
      <w:r w:rsidRPr="00097529">
        <w:rPr>
          <w:rFonts w:ascii="Arial" w:hAnsi="Arial" w:cs="Arial"/>
          <w:sz w:val="44"/>
          <w:szCs w:val="44"/>
        </w:rPr>
        <w:t>Send Delegation to Examine C</w:t>
      </w:r>
      <w:r w:rsidRPr="00097529">
        <w:rPr>
          <w:rFonts w:ascii="Arial" w:hAnsi="Arial" w:cs="Arial"/>
          <w:sz w:val="44"/>
          <w:szCs w:val="44"/>
        </w:rPr>
        <w:t xml:space="preserve">omplaints </w:t>
      </w:r>
      <w:proofErr w:type="gramStart"/>
      <w:r w:rsidRPr="00097529">
        <w:rPr>
          <w:rFonts w:ascii="Arial" w:hAnsi="Arial" w:cs="Arial"/>
          <w:sz w:val="44"/>
          <w:szCs w:val="44"/>
        </w:rPr>
        <w:t>A</w:t>
      </w:r>
      <w:r w:rsidRPr="00097529">
        <w:rPr>
          <w:rFonts w:ascii="Arial" w:hAnsi="Arial" w:cs="Arial"/>
          <w:sz w:val="44"/>
          <w:szCs w:val="44"/>
        </w:rPr>
        <w:t>gainst</w:t>
      </w:r>
      <w:proofErr w:type="gramEnd"/>
      <w:r w:rsidRPr="00097529">
        <w:rPr>
          <w:rFonts w:ascii="Arial" w:hAnsi="Arial" w:cs="Arial"/>
          <w:sz w:val="44"/>
          <w:szCs w:val="44"/>
        </w:rPr>
        <w:t xml:space="preserve"> Israel</w:t>
      </w:r>
    </w:p>
    <w:p w:rsidR="00DA23C4" w:rsidRPr="00097529" w:rsidRDefault="00DA23C4" w:rsidP="004D3A01">
      <w:pPr>
        <w:spacing w:after="0" w:line="240" w:lineRule="auto"/>
        <w:rPr>
          <w:rFonts w:ascii="Arial" w:hAnsi="Arial" w:cs="Arial"/>
          <w:sz w:val="28"/>
          <w:szCs w:val="28"/>
        </w:rPr>
      </w:pPr>
      <w:r w:rsidRPr="00097529">
        <w:rPr>
          <w:rFonts w:ascii="Arial" w:hAnsi="Arial" w:cs="Arial"/>
          <w:sz w:val="28"/>
          <w:szCs w:val="28"/>
        </w:rPr>
        <w:t>June 11, 2015</w:t>
      </w:r>
    </w:p>
    <w:p w:rsidR="00DA23C4" w:rsidRPr="00097529" w:rsidRDefault="00DA23C4" w:rsidP="004D3A01">
      <w:pPr>
        <w:spacing w:after="0" w:line="240" w:lineRule="auto"/>
        <w:rPr>
          <w:rFonts w:ascii="Arial" w:hAnsi="Arial" w:cs="Arial"/>
          <w:sz w:val="28"/>
          <w:szCs w:val="28"/>
        </w:rPr>
      </w:pPr>
      <w:r w:rsidRPr="00097529">
        <w:rPr>
          <w:rFonts w:ascii="Arial" w:hAnsi="Arial" w:cs="Arial"/>
          <w:sz w:val="28"/>
          <w:szCs w:val="28"/>
        </w:rPr>
        <w:t xml:space="preserve">By Amira Hass and Barak </w:t>
      </w:r>
      <w:proofErr w:type="spellStart"/>
      <w:r w:rsidRPr="00097529">
        <w:rPr>
          <w:rFonts w:ascii="Arial" w:hAnsi="Arial" w:cs="Arial"/>
          <w:sz w:val="28"/>
          <w:szCs w:val="28"/>
        </w:rPr>
        <w:t>Ravid</w:t>
      </w:r>
    </w:p>
    <w:p w:rsidR="00DA23C4" w:rsidRPr="00097529" w:rsidRDefault="00DA23C4" w:rsidP="004D3A01">
      <w:pPr>
        <w:spacing w:after="0" w:line="240" w:lineRule="auto"/>
        <w:rPr>
          <w:rFonts w:ascii="Arial" w:hAnsi="Arial" w:cs="Arial"/>
          <w:sz w:val="28"/>
          <w:szCs w:val="28"/>
        </w:rPr>
      </w:pPr>
      <w:r w:rsidRPr="00097529">
        <w:rPr>
          <w:rFonts w:ascii="Arial" w:hAnsi="Arial" w:cs="Arial"/>
          <w:sz w:val="28"/>
          <w:szCs w:val="28"/>
        </w:rPr>
        <w:t>Haaretz</w:t>
      </w:r>
      <w:proofErr w:type="spellEnd"/>
    </w:p>
    <w:p w:rsidR="00DA23C4" w:rsidRPr="00097529" w:rsidRDefault="00DA23C4" w:rsidP="004D3A01">
      <w:pPr>
        <w:spacing w:after="0" w:line="240" w:lineRule="auto"/>
        <w:rPr>
          <w:rFonts w:ascii="Arial" w:hAnsi="Arial" w:cs="Arial"/>
          <w:sz w:val="28"/>
          <w:szCs w:val="28"/>
        </w:rPr>
      </w:pPr>
      <w:r w:rsidRPr="00097529">
        <w:rPr>
          <w:rFonts w:ascii="Arial" w:hAnsi="Arial" w:cs="Arial"/>
          <w:sz w:val="28"/>
          <w:szCs w:val="28"/>
        </w:rPr>
        <w:t>http://www.haaretz.com/news/diplomacy-defense/.premium-1.660633#</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A delegation from the prosecutor’s office of the International Criminal Court at The Hague is due to arrive in Israel on June 27 as part of the prosecution’s preliminary examination into whether war crimes and crimes against humanity have been committed in the occupied Palestinian territories, according to senior Palestinian sources.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The sources said Palestinian political leaders had been informed of the delegation’s planned arrival by the court recently. The purpose of the preliminary examination is to determine if there is a reasonable basis to the claim that crimes have been committed that are within the court’s authority to investigate. If the prosecution does decide to launch an investigation, it is possible they will not just investigate allegations of Israeli war crimes, but also actions committed by the Palestinians.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An independent attorney who is advising the Palestinian committee told </w:t>
      </w:r>
      <w:proofErr w:type="spellStart"/>
      <w:r w:rsidRPr="00097529">
        <w:rPr>
          <w:rFonts w:ascii="Arial" w:hAnsi="Arial" w:cs="Arial"/>
          <w:sz w:val="28"/>
          <w:szCs w:val="28"/>
        </w:rPr>
        <w:t>Haaretz</w:t>
      </w:r>
      <w:proofErr w:type="spellEnd"/>
      <w:r w:rsidRPr="00097529">
        <w:rPr>
          <w:rFonts w:ascii="Arial" w:hAnsi="Arial" w:cs="Arial"/>
          <w:sz w:val="28"/>
          <w:szCs w:val="28"/>
        </w:rPr>
        <w:t xml:space="preserve"> the delegation’s visit is a good sign that indicates the court is taking the issue seriously. He also said prosecution investigators are not always sent to the country being examined during preliminary examinations. However, the ICC prosecutor’s office said that field visits to various countries are indeed part of the usual examination process, but that the date of the visit had not yet been set.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A senior Israeli official who is dealing with the matter said such a visit is a routine part of conducting such preliminary examinations. “Nothing about it testifies to the progress of the examination or its pace,” he said.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Israel has yet to respond to the prosecution request and will hold discussions about it over the next few days. “We will examine every request for a visit while taking into account all the relevant considerations, </w:t>
      </w:r>
      <w:r w:rsidRPr="00097529">
        <w:rPr>
          <w:rFonts w:ascii="Arial" w:hAnsi="Arial" w:cs="Arial"/>
          <w:sz w:val="28"/>
          <w:szCs w:val="28"/>
        </w:rPr>
        <w:lastRenderedPageBreak/>
        <w:t xml:space="preserve">including Israel’s position that Palestine is not a state and therefore the court has no authority to consider the Palestinian complaint.”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On June 25, meanwhile, the Palestinians will give the prosecution two files containing detailed information about Israeli activities in the West Bank settlements, including in East Jerusalem, and about Israeli military attacks in the Gaza Strip over the past year. A Palestinian delegation headed by Palestinian Authority Foreign Minister </w:t>
      </w:r>
      <w:proofErr w:type="spellStart"/>
      <w:r w:rsidRPr="00097529">
        <w:rPr>
          <w:rFonts w:ascii="Arial" w:hAnsi="Arial" w:cs="Arial"/>
          <w:sz w:val="28"/>
          <w:szCs w:val="28"/>
        </w:rPr>
        <w:t>Riyad</w:t>
      </w:r>
      <w:proofErr w:type="spellEnd"/>
      <w:r w:rsidRPr="00097529">
        <w:rPr>
          <w:rFonts w:ascii="Arial" w:hAnsi="Arial" w:cs="Arial"/>
          <w:sz w:val="28"/>
          <w:szCs w:val="28"/>
        </w:rPr>
        <w:t xml:space="preserve"> al-</w:t>
      </w:r>
      <w:proofErr w:type="spellStart"/>
      <w:r w:rsidRPr="00097529">
        <w:rPr>
          <w:rFonts w:ascii="Arial" w:hAnsi="Arial" w:cs="Arial"/>
          <w:sz w:val="28"/>
          <w:szCs w:val="28"/>
        </w:rPr>
        <w:t>Malki</w:t>
      </w:r>
      <w:proofErr w:type="spellEnd"/>
      <w:r w:rsidRPr="00097529">
        <w:rPr>
          <w:rFonts w:ascii="Arial" w:hAnsi="Arial" w:cs="Arial"/>
          <w:sz w:val="28"/>
          <w:szCs w:val="28"/>
        </w:rPr>
        <w:t xml:space="preserve"> will be traveling to The Hague to deliver the files to prosecutor </w:t>
      </w:r>
      <w:proofErr w:type="spellStart"/>
      <w:r w:rsidRPr="00097529">
        <w:rPr>
          <w:rFonts w:ascii="Arial" w:hAnsi="Arial" w:cs="Arial"/>
          <w:sz w:val="28"/>
          <w:szCs w:val="28"/>
        </w:rPr>
        <w:t>Fatou</w:t>
      </w:r>
      <w:proofErr w:type="spellEnd"/>
      <w:r w:rsidRPr="00097529">
        <w:rPr>
          <w:rFonts w:ascii="Arial" w:hAnsi="Arial" w:cs="Arial"/>
          <w:sz w:val="28"/>
          <w:szCs w:val="28"/>
        </w:rPr>
        <w:t xml:space="preserve"> </w:t>
      </w:r>
      <w:proofErr w:type="spellStart"/>
      <w:r w:rsidRPr="00097529">
        <w:rPr>
          <w:rFonts w:ascii="Arial" w:hAnsi="Arial" w:cs="Arial"/>
          <w:sz w:val="28"/>
          <w:szCs w:val="28"/>
        </w:rPr>
        <w:t>Bensouda</w:t>
      </w:r>
      <w:proofErr w:type="spellEnd"/>
      <w:r w:rsidRPr="00097529">
        <w:rPr>
          <w:rFonts w:ascii="Arial" w:hAnsi="Arial" w:cs="Arial"/>
          <w:sz w:val="28"/>
          <w:szCs w:val="28"/>
        </w:rPr>
        <w:t xml:space="preserve">. </w:t>
      </w:r>
    </w:p>
    <w:p w:rsidR="00DA23C4" w:rsidRPr="00097529" w:rsidRDefault="00DA23C4">
      <w:pPr>
        <w:rPr>
          <w:rFonts w:ascii="Arial" w:hAnsi="Arial" w:cs="Arial"/>
          <w:sz w:val="28"/>
          <w:szCs w:val="28"/>
        </w:rPr>
      </w:pPr>
      <w:r w:rsidRPr="00097529">
        <w:rPr>
          <w:rFonts w:ascii="Arial" w:hAnsi="Arial" w:cs="Arial"/>
          <w:sz w:val="28"/>
          <w:szCs w:val="28"/>
        </w:rPr>
        <w:t xml:space="preserve">The decision to submit the material on that date was made by a special Palestinian committee for International Criminal Court matters, headed by Saeb Erekat, a veteran negotiator with Israel and member of the PLO executive committee. Palestinian sources told </w:t>
      </w:r>
      <w:proofErr w:type="spellStart"/>
      <w:r w:rsidRPr="00097529">
        <w:rPr>
          <w:rFonts w:ascii="Arial" w:hAnsi="Arial" w:cs="Arial"/>
          <w:sz w:val="28"/>
          <w:szCs w:val="28"/>
        </w:rPr>
        <w:t>Haaretz</w:t>
      </w:r>
      <w:proofErr w:type="spellEnd"/>
      <w:r w:rsidRPr="00097529">
        <w:rPr>
          <w:rFonts w:ascii="Arial" w:hAnsi="Arial" w:cs="Arial"/>
          <w:sz w:val="28"/>
          <w:szCs w:val="28"/>
        </w:rPr>
        <w:t xml:space="preserve"> that the proximity of the Palestinians’ trip and the delegation’s visit to the region is coincidental. A Palestinian minister</w:t>
      </w:r>
      <w:r w:rsidRPr="00097529">
        <w:rPr>
          <w:rFonts w:ascii="Arial" w:hAnsi="Arial" w:cs="Arial"/>
          <w:sz w:val="28"/>
          <w:szCs w:val="28"/>
        </w:rPr>
        <w:t xml:space="preserve"> </w:t>
      </w:r>
      <w:r w:rsidRPr="00097529">
        <w:rPr>
          <w:rFonts w:ascii="Arial" w:hAnsi="Arial" w:cs="Arial"/>
          <w:sz w:val="28"/>
          <w:szCs w:val="28"/>
        </w:rPr>
        <w:t xml:space="preserve">said </w:t>
      </w:r>
      <w:proofErr w:type="spellStart"/>
      <w:r w:rsidRPr="00097529">
        <w:rPr>
          <w:rFonts w:ascii="Arial" w:hAnsi="Arial" w:cs="Arial"/>
          <w:sz w:val="28"/>
          <w:szCs w:val="28"/>
        </w:rPr>
        <w:t>Malki’s</w:t>
      </w:r>
      <w:proofErr w:type="spellEnd"/>
      <w:r w:rsidRPr="00097529">
        <w:rPr>
          <w:rFonts w:ascii="Arial" w:hAnsi="Arial" w:cs="Arial"/>
          <w:sz w:val="28"/>
          <w:szCs w:val="28"/>
        </w:rPr>
        <w:t xml:space="preserve"> trip to The Hague had been set up at the beginning of this month.</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Members of the Palestinian committee do not know how far the ICC’s examination has progressed. The information is being submitted to </w:t>
      </w:r>
      <w:proofErr w:type="spellStart"/>
      <w:r w:rsidRPr="00097529">
        <w:rPr>
          <w:rFonts w:ascii="Arial" w:hAnsi="Arial" w:cs="Arial"/>
          <w:sz w:val="28"/>
          <w:szCs w:val="28"/>
        </w:rPr>
        <w:t>Bensouda</w:t>
      </w:r>
      <w:proofErr w:type="spellEnd"/>
      <w:r w:rsidRPr="00097529">
        <w:rPr>
          <w:rFonts w:ascii="Arial" w:hAnsi="Arial" w:cs="Arial"/>
          <w:sz w:val="28"/>
          <w:szCs w:val="28"/>
        </w:rPr>
        <w:t xml:space="preserve"> to help her decide to move from the examination stage to a full investigation of criminal suspicions. According to ICC procedure, the prosecution must get permission from the judges in the court’s pretrial department to move from examination to investigation.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The submission of the files and the arrival of the delegation are part of a series of official actions that began on December 31, 2014, the day that Palestinian Authority President Mahmoud Abbas signed the Rome Statute (which regulates the work of the ICC) and issued a declaration that the Palestinians recognize the court’s authority to examine the possibility that crimes were committed on Palestinian soil starting on June 13, 2014 (the date that searches for the three teenagers kidnapped in Gush </w:t>
      </w:r>
      <w:proofErr w:type="spellStart"/>
      <w:r w:rsidRPr="00097529">
        <w:rPr>
          <w:rFonts w:ascii="Arial" w:hAnsi="Arial" w:cs="Arial"/>
          <w:sz w:val="28"/>
          <w:szCs w:val="28"/>
        </w:rPr>
        <w:t>Etzion</w:t>
      </w:r>
      <w:proofErr w:type="spellEnd"/>
      <w:r w:rsidRPr="00097529">
        <w:rPr>
          <w:rFonts w:ascii="Arial" w:hAnsi="Arial" w:cs="Arial"/>
          <w:sz w:val="28"/>
          <w:szCs w:val="28"/>
        </w:rPr>
        <w:t xml:space="preserve"> the night before were launched).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In a surprise move on January 16, </w:t>
      </w:r>
      <w:proofErr w:type="spellStart"/>
      <w:r w:rsidRPr="00097529">
        <w:rPr>
          <w:rFonts w:ascii="Arial" w:hAnsi="Arial" w:cs="Arial"/>
          <w:sz w:val="28"/>
          <w:szCs w:val="28"/>
        </w:rPr>
        <w:t>Bensouda</w:t>
      </w:r>
      <w:proofErr w:type="spellEnd"/>
      <w:r w:rsidRPr="00097529">
        <w:rPr>
          <w:rFonts w:ascii="Arial" w:hAnsi="Arial" w:cs="Arial"/>
          <w:sz w:val="28"/>
          <w:szCs w:val="28"/>
        </w:rPr>
        <w:t xml:space="preserve"> announced she was launching a preliminary examination into the situation in Palestine, even though Palestine’s affiliation with the ICC had yet to officially take effect. On February 7, Abbas announced the establishment of the Supreme National Committee for Coordination with the ICC. On April 1, Palestine’s membership in the ICC became official, making it the 123rd member.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lastRenderedPageBreak/>
        <w:t xml:space="preserve">A member of the supreme national committee told </w:t>
      </w:r>
      <w:proofErr w:type="spellStart"/>
      <w:r w:rsidRPr="00097529">
        <w:rPr>
          <w:rFonts w:ascii="Arial" w:hAnsi="Arial" w:cs="Arial"/>
          <w:sz w:val="28"/>
          <w:szCs w:val="28"/>
        </w:rPr>
        <w:t>Haaretz</w:t>
      </w:r>
      <w:proofErr w:type="spellEnd"/>
      <w:r w:rsidRPr="00097529">
        <w:rPr>
          <w:rFonts w:ascii="Arial" w:hAnsi="Arial" w:cs="Arial"/>
          <w:sz w:val="28"/>
          <w:szCs w:val="28"/>
        </w:rPr>
        <w:t xml:space="preserve"> that the submission of the information and documents collected by Palestinian governmental and nongovernmental sources was “a gesture of support for the prosecutor and another sign of our seriousness with regard to the entire process of approaching the International Criminal Court.” A PLO source said that the prosecution at The Hague was working more quickly than the Palestinians had expected.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The prosecutor’s preliminary examination is not an independent investigation by the court, but relies on material that already has been published or that is submitted to it by governmental and nongovernmental agencies. The preliminary examination is meant firstly to examine whether the court has jurisdiction; in 2009, for example, the prosecutor determined it had no authority to investigate suspicions of war crimes committed by Israel since 2002 because Palestine is not a state.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The examination also evaluates whether the seriousness of the allegation warrants an investigation; in 2014 the prosecutor conducted a preliminary examination into Israel’s 2010 raid on the </w:t>
      </w:r>
      <w:proofErr w:type="spellStart"/>
      <w:r w:rsidRPr="00097529">
        <w:rPr>
          <w:rFonts w:ascii="Arial" w:hAnsi="Arial" w:cs="Arial"/>
          <w:sz w:val="28"/>
          <w:szCs w:val="28"/>
        </w:rPr>
        <w:t>Mavi</w:t>
      </w:r>
      <w:proofErr w:type="spellEnd"/>
      <w:r w:rsidRPr="00097529">
        <w:rPr>
          <w:rFonts w:ascii="Arial" w:hAnsi="Arial" w:cs="Arial"/>
          <w:sz w:val="28"/>
          <w:szCs w:val="28"/>
        </w:rPr>
        <w:t xml:space="preserve"> Marmara, the lead ship in a flotilla trying to break the Gaza blockade, and the killing of 10 of its passengers. The prosecutor decided not to proceed to the investigation stage because the incident wasn’t of sufficient magnitude. The examination also looks into the possibility that an investigation will harm the interests of the damaged party.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Members of the supreme committee are well aware that an investigation in Gaza will not just include a probe of alleged war crimes committed by Israel, but also the allegations of crimes committed by various Palestinian elements. But leaders of all Palestinian organizations, including Hamas and Islamic Jihad, signed a declaration stating they are prepared to accept the consequences that might result from joining the ICC.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A member of the supreme committee told </w:t>
      </w:r>
      <w:proofErr w:type="spellStart"/>
      <w:r w:rsidRPr="00097529">
        <w:rPr>
          <w:rFonts w:ascii="Arial" w:hAnsi="Arial" w:cs="Arial"/>
          <w:sz w:val="28"/>
          <w:szCs w:val="28"/>
        </w:rPr>
        <w:t>Haaretz</w:t>
      </w:r>
      <w:proofErr w:type="spellEnd"/>
      <w:r w:rsidRPr="00097529">
        <w:rPr>
          <w:rFonts w:ascii="Arial" w:hAnsi="Arial" w:cs="Arial"/>
          <w:sz w:val="28"/>
          <w:szCs w:val="28"/>
        </w:rPr>
        <w:t xml:space="preserve"> that in contrast to the possibility that an investigation of the situation in Gaza might backfire, the file on the settlements is much simpler and clearer, because the Israelis themselves declare that settling the territories is their policy. Therefore, he said, the court will not be able to avoid launching a war crimes investigation into the settlements issue. The Rome Statute, in its section on war crimes, includes “The transfer, directly or indirectly, by the Occupying Power of parts of its own civilian population into the territory it occupies, or the </w:t>
      </w:r>
      <w:r w:rsidRPr="00097529">
        <w:rPr>
          <w:rFonts w:ascii="Arial" w:hAnsi="Arial" w:cs="Arial"/>
          <w:sz w:val="28"/>
          <w:szCs w:val="28"/>
        </w:rPr>
        <w:lastRenderedPageBreak/>
        <w:t xml:space="preserve">deportation or transfer of all or parts of the population of the occupied territory within or outside this territory.”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 xml:space="preserve">The worst that could happen, said the committee member, is that Israel and the United States will exert pressure to slow down the process. Under the Rome Statute, the UN Security Council is permitted to ask the ICC to delay dealing with a certain issue for a year, and can then ask to renew that request for another year. But Palestinian sources told </w:t>
      </w:r>
      <w:proofErr w:type="spellStart"/>
      <w:r w:rsidRPr="00097529">
        <w:rPr>
          <w:rFonts w:ascii="Arial" w:hAnsi="Arial" w:cs="Arial"/>
          <w:sz w:val="28"/>
          <w:szCs w:val="28"/>
        </w:rPr>
        <w:t>Haaretz</w:t>
      </w:r>
      <w:proofErr w:type="spellEnd"/>
      <w:r w:rsidRPr="00097529">
        <w:rPr>
          <w:rFonts w:ascii="Arial" w:hAnsi="Arial" w:cs="Arial"/>
          <w:sz w:val="28"/>
          <w:szCs w:val="28"/>
        </w:rPr>
        <w:t xml:space="preserve"> that China and Russia have promised the Palestinians that if the United States proposes that the Security Council ask for a delay in the investigation, they will veto that motion. </w:t>
      </w:r>
    </w:p>
    <w:p w:rsidR="00DA23C4" w:rsidRPr="00097529" w:rsidRDefault="00DA23C4" w:rsidP="00DA23C4">
      <w:pPr>
        <w:pStyle w:val="NormalWeb"/>
        <w:spacing w:line="225" w:lineRule="atLeast"/>
        <w:rPr>
          <w:rFonts w:ascii="Arial" w:hAnsi="Arial" w:cs="Arial"/>
          <w:sz w:val="28"/>
          <w:szCs w:val="28"/>
        </w:rPr>
      </w:pPr>
      <w:r w:rsidRPr="00097529">
        <w:rPr>
          <w:rFonts w:ascii="Arial" w:hAnsi="Arial" w:cs="Arial"/>
          <w:sz w:val="28"/>
          <w:szCs w:val="28"/>
        </w:rPr>
        <w:t>The Office of the Prosecutor at the International Criminal Court said, “As part of its preliminary examination activities, the Office of the Prosecutor conducts field visits as it has done in the past with other situations under preliminary examinations. From the outset, the prosecutor has consistently made clear that the situation in Palestine will not be treated any differently from the others. Therefore, the office as per normal practice, is considering a visit to the region during the course of its preliminary examination. Contrary to media reports, no date has been confirmed and further plannin</w:t>
      </w:r>
      <w:bookmarkStart w:id="0" w:name="_GoBack"/>
      <w:bookmarkEnd w:id="0"/>
      <w:r w:rsidRPr="00097529">
        <w:rPr>
          <w:rFonts w:ascii="Arial" w:hAnsi="Arial" w:cs="Arial"/>
          <w:sz w:val="28"/>
          <w:szCs w:val="28"/>
        </w:rPr>
        <w:t xml:space="preserve">g is required.” </w:t>
      </w:r>
    </w:p>
    <w:p w:rsidR="00DA23C4" w:rsidRPr="00097529" w:rsidRDefault="00DA23C4">
      <w:pPr>
        <w:rPr>
          <w:rFonts w:ascii="Arial" w:hAnsi="Arial" w:cs="Arial"/>
          <w:sz w:val="28"/>
          <w:szCs w:val="28"/>
        </w:rPr>
      </w:pPr>
    </w:p>
    <w:p w:rsidR="00DA23C4" w:rsidRPr="00097529" w:rsidRDefault="00DA23C4">
      <w:pPr>
        <w:rPr>
          <w:rFonts w:ascii="Arial" w:hAnsi="Arial" w:cs="Arial"/>
          <w:sz w:val="28"/>
          <w:szCs w:val="28"/>
        </w:rPr>
      </w:pPr>
    </w:p>
    <w:p w:rsidR="008A5395" w:rsidRPr="00097529" w:rsidRDefault="008A5395">
      <w:pPr>
        <w:rPr>
          <w:rFonts w:ascii="Arial" w:hAnsi="Arial" w:cs="Arial"/>
          <w:sz w:val="28"/>
          <w:szCs w:val="28"/>
        </w:rPr>
      </w:pPr>
    </w:p>
    <w:sectPr w:rsidR="008A5395" w:rsidRPr="0009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95"/>
    <w:rsid w:val="00097529"/>
    <w:rsid w:val="00166CC7"/>
    <w:rsid w:val="004D3A01"/>
    <w:rsid w:val="008A5395"/>
    <w:rsid w:val="00C8741F"/>
    <w:rsid w:val="00DA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C2930-DE6D-44BA-BC5E-D4B83200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3C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3649">
      <w:bodyDiv w:val="1"/>
      <w:marLeft w:val="0"/>
      <w:marRight w:val="0"/>
      <w:marTop w:val="0"/>
      <w:marBottom w:val="0"/>
      <w:divBdr>
        <w:top w:val="none" w:sz="0" w:space="0" w:color="auto"/>
        <w:left w:val="none" w:sz="0" w:space="0" w:color="auto"/>
        <w:bottom w:val="none" w:sz="0" w:space="0" w:color="auto"/>
        <w:right w:val="none" w:sz="0" w:space="0" w:color="auto"/>
      </w:divBdr>
      <w:divsChild>
        <w:div w:id="1821727461">
          <w:marLeft w:val="0"/>
          <w:marRight w:val="0"/>
          <w:marTop w:val="0"/>
          <w:marBottom w:val="0"/>
          <w:divBdr>
            <w:top w:val="none" w:sz="0" w:space="0" w:color="auto"/>
            <w:left w:val="none" w:sz="0" w:space="0" w:color="auto"/>
            <w:bottom w:val="none" w:sz="0" w:space="0" w:color="auto"/>
            <w:right w:val="none" w:sz="0" w:space="0" w:color="auto"/>
          </w:divBdr>
          <w:divsChild>
            <w:div w:id="1562252879">
              <w:marLeft w:val="0"/>
              <w:marRight w:val="0"/>
              <w:marTop w:val="0"/>
              <w:marBottom w:val="0"/>
              <w:divBdr>
                <w:top w:val="none" w:sz="0" w:space="0" w:color="auto"/>
                <w:left w:val="none" w:sz="0" w:space="0" w:color="auto"/>
                <w:bottom w:val="none" w:sz="0" w:space="0" w:color="auto"/>
                <w:right w:val="none" w:sz="0" w:space="0" w:color="auto"/>
              </w:divBdr>
              <w:divsChild>
                <w:div w:id="904337028">
                  <w:marLeft w:val="0"/>
                  <w:marRight w:val="0"/>
                  <w:marTop w:val="0"/>
                  <w:marBottom w:val="300"/>
                  <w:divBdr>
                    <w:top w:val="none" w:sz="0" w:space="0" w:color="auto"/>
                    <w:left w:val="none" w:sz="0" w:space="0" w:color="auto"/>
                    <w:bottom w:val="none" w:sz="0" w:space="0" w:color="auto"/>
                    <w:right w:val="none" w:sz="0" w:space="0" w:color="auto"/>
                  </w:divBdr>
                  <w:divsChild>
                    <w:div w:id="2102993997">
                      <w:marLeft w:val="0"/>
                      <w:marRight w:val="0"/>
                      <w:marTop w:val="0"/>
                      <w:marBottom w:val="0"/>
                      <w:divBdr>
                        <w:top w:val="none" w:sz="0" w:space="0" w:color="auto"/>
                        <w:left w:val="none" w:sz="0" w:space="0" w:color="auto"/>
                        <w:bottom w:val="none" w:sz="0" w:space="0" w:color="auto"/>
                        <w:right w:val="none" w:sz="0" w:space="0" w:color="auto"/>
                      </w:divBdr>
                      <w:divsChild>
                        <w:div w:id="486240200">
                          <w:marLeft w:val="0"/>
                          <w:marRight w:val="0"/>
                          <w:marTop w:val="0"/>
                          <w:marBottom w:val="1890"/>
                          <w:divBdr>
                            <w:top w:val="none" w:sz="0" w:space="0" w:color="auto"/>
                            <w:left w:val="none" w:sz="0" w:space="0" w:color="auto"/>
                            <w:bottom w:val="none" w:sz="0" w:space="0" w:color="auto"/>
                            <w:right w:val="none" w:sz="0" w:space="0" w:color="auto"/>
                          </w:divBdr>
                          <w:divsChild>
                            <w:div w:id="369303865">
                              <w:marLeft w:val="0"/>
                              <w:marRight w:val="0"/>
                              <w:marTop w:val="0"/>
                              <w:marBottom w:val="0"/>
                              <w:divBdr>
                                <w:top w:val="none" w:sz="0" w:space="0" w:color="auto"/>
                                <w:left w:val="none" w:sz="0" w:space="0" w:color="auto"/>
                                <w:bottom w:val="none" w:sz="0" w:space="0" w:color="auto"/>
                                <w:right w:val="none" w:sz="0" w:space="0" w:color="auto"/>
                              </w:divBdr>
                              <w:divsChild>
                                <w:div w:id="1751390257">
                                  <w:marLeft w:val="0"/>
                                  <w:marRight w:val="0"/>
                                  <w:marTop w:val="0"/>
                                  <w:marBottom w:val="0"/>
                                  <w:divBdr>
                                    <w:top w:val="none" w:sz="0" w:space="0" w:color="auto"/>
                                    <w:left w:val="none" w:sz="0" w:space="0" w:color="auto"/>
                                    <w:bottom w:val="none" w:sz="0" w:space="0" w:color="auto"/>
                                    <w:right w:val="none" w:sz="0" w:space="0" w:color="auto"/>
                                  </w:divBdr>
                                  <w:divsChild>
                                    <w:div w:id="1759785053">
                                      <w:marLeft w:val="0"/>
                                      <w:marRight w:val="0"/>
                                      <w:marTop w:val="0"/>
                                      <w:marBottom w:val="0"/>
                                      <w:divBdr>
                                        <w:top w:val="none" w:sz="0" w:space="0" w:color="auto"/>
                                        <w:left w:val="none" w:sz="0" w:space="0" w:color="auto"/>
                                        <w:bottom w:val="none" w:sz="0" w:space="0" w:color="auto"/>
                                        <w:right w:val="none" w:sz="0" w:space="0" w:color="auto"/>
                                      </w:divBdr>
                                      <w:divsChild>
                                        <w:div w:id="1209338323">
                                          <w:marLeft w:val="0"/>
                                          <w:marRight w:val="0"/>
                                          <w:marTop w:val="0"/>
                                          <w:marBottom w:val="0"/>
                                          <w:divBdr>
                                            <w:top w:val="none" w:sz="0" w:space="0" w:color="auto"/>
                                            <w:left w:val="none" w:sz="0" w:space="0" w:color="auto"/>
                                            <w:bottom w:val="none" w:sz="0" w:space="0" w:color="auto"/>
                                            <w:right w:val="none" w:sz="0" w:space="0" w:color="auto"/>
                                          </w:divBdr>
                                          <w:divsChild>
                                            <w:div w:id="580869919">
                                              <w:marLeft w:val="0"/>
                                              <w:marRight w:val="0"/>
                                              <w:marTop w:val="0"/>
                                              <w:marBottom w:val="0"/>
                                              <w:divBdr>
                                                <w:top w:val="none" w:sz="0" w:space="0" w:color="auto"/>
                                                <w:left w:val="none" w:sz="0" w:space="0" w:color="auto"/>
                                                <w:bottom w:val="none" w:sz="0" w:space="0" w:color="auto"/>
                                                <w:right w:val="none" w:sz="0" w:space="0" w:color="auto"/>
                                              </w:divBdr>
                                              <w:divsChild>
                                                <w:div w:id="653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531784">
      <w:bodyDiv w:val="1"/>
      <w:marLeft w:val="0"/>
      <w:marRight w:val="0"/>
      <w:marTop w:val="0"/>
      <w:marBottom w:val="0"/>
      <w:divBdr>
        <w:top w:val="none" w:sz="0" w:space="0" w:color="auto"/>
        <w:left w:val="none" w:sz="0" w:space="0" w:color="auto"/>
        <w:bottom w:val="none" w:sz="0" w:space="0" w:color="auto"/>
        <w:right w:val="none" w:sz="0" w:space="0" w:color="auto"/>
      </w:divBdr>
      <w:divsChild>
        <w:div w:id="618611716">
          <w:marLeft w:val="0"/>
          <w:marRight w:val="0"/>
          <w:marTop w:val="0"/>
          <w:marBottom w:val="0"/>
          <w:divBdr>
            <w:top w:val="none" w:sz="0" w:space="0" w:color="auto"/>
            <w:left w:val="none" w:sz="0" w:space="0" w:color="auto"/>
            <w:bottom w:val="none" w:sz="0" w:space="0" w:color="auto"/>
            <w:right w:val="none" w:sz="0" w:space="0" w:color="auto"/>
          </w:divBdr>
          <w:divsChild>
            <w:div w:id="2088915364">
              <w:marLeft w:val="0"/>
              <w:marRight w:val="0"/>
              <w:marTop w:val="0"/>
              <w:marBottom w:val="0"/>
              <w:divBdr>
                <w:top w:val="none" w:sz="0" w:space="0" w:color="auto"/>
                <w:left w:val="none" w:sz="0" w:space="0" w:color="auto"/>
                <w:bottom w:val="none" w:sz="0" w:space="0" w:color="auto"/>
                <w:right w:val="none" w:sz="0" w:space="0" w:color="auto"/>
              </w:divBdr>
              <w:divsChild>
                <w:div w:id="1425801853">
                  <w:marLeft w:val="0"/>
                  <w:marRight w:val="0"/>
                  <w:marTop w:val="0"/>
                  <w:marBottom w:val="300"/>
                  <w:divBdr>
                    <w:top w:val="none" w:sz="0" w:space="0" w:color="auto"/>
                    <w:left w:val="none" w:sz="0" w:space="0" w:color="auto"/>
                    <w:bottom w:val="none" w:sz="0" w:space="0" w:color="auto"/>
                    <w:right w:val="none" w:sz="0" w:space="0" w:color="auto"/>
                  </w:divBdr>
                  <w:divsChild>
                    <w:div w:id="727459181">
                      <w:marLeft w:val="0"/>
                      <w:marRight w:val="0"/>
                      <w:marTop w:val="0"/>
                      <w:marBottom w:val="0"/>
                      <w:divBdr>
                        <w:top w:val="none" w:sz="0" w:space="0" w:color="auto"/>
                        <w:left w:val="none" w:sz="0" w:space="0" w:color="auto"/>
                        <w:bottom w:val="none" w:sz="0" w:space="0" w:color="auto"/>
                        <w:right w:val="none" w:sz="0" w:space="0" w:color="auto"/>
                      </w:divBdr>
                      <w:divsChild>
                        <w:div w:id="1545676777">
                          <w:marLeft w:val="0"/>
                          <w:marRight w:val="0"/>
                          <w:marTop w:val="0"/>
                          <w:marBottom w:val="1890"/>
                          <w:divBdr>
                            <w:top w:val="none" w:sz="0" w:space="0" w:color="auto"/>
                            <w:left w:val="none" w:sz="0" w:space="0" w:color="auto"/>
                            <w:bottom w:val="none" w:sz="0" w:space="0" w:color="auto"/>
                            <w:right w:val="none" w:sz="0" w:space="0" w:color="auto"/>
                          </w:divBdr>
                          <w:divsChild>
                            <w:div w:id="1641032032">
                              <w:marLeft w:val="0"/>
                              <w:marRight w:val="0"/>
                              <w:marTop w:val="0"/>
                              <w:marBottom w:val="0"/>
                              <w:divBdr>
                                <w:top w:val="none" w:sz="0" w:space="0" w:color="auto"/>
                                <w:left w:val="none" w:sz="0" w:space="0" w:color="auto"/>
                                <w:bottom w:val="none" w:sz="0" w:space="0" w:color="auto"/>
                                <w:right w:val="none" w:sz="0" w:space="0" w:color="auto"/>
                              </w:divBdr>
                              <w:divsChild>
                                <w:div w:id="847712083">
                                  <w:marLeft w:val="0"/>
                                  <w:marRight w:val="0"/>
                                  <w:marTop w:val="0"/>
                                  <w:marBottom w:val="0"/>
                                  <w:divBdr>
                                    <w:top w:val="none" w:sz="0" w:space="0" w:color="auto"/>
                                    <w:left w:val="none" w:sz="0" w:space="0" w:color="auto"/>
                                    <w:bottom w:val="none" w:sz="0" w:space="0" w:color="auto"/>
                                    <w:right w:val="none" w:sz="0" w:space="0" w:color="auto"/>
                                  </w:divBdr>
                                  <w:divsChild>
                                    <w:div w:id="1335037777">
                                      <w:marLeft w:val="0"/>
                                      <w:marRight w:val="0"/>
                                      <w:marTop w:val="0"/>
                                      <w:marBottom w:val="0"/>
                                      <w:divBdr>
                                        <w:top w:val="none" w:sz="0" w:space="0" w:color="auto"/>
                                        <w:left w:val="none" w:sz="0" w:space="0" w:color="auto"/>
                                        <w:bottom w:val="none" w:sz="0" w:space="0" w:color="auto"/>
                                        <w:right w:val="none" w:sz="0" w:space="0" w:color="auto"/>
                                      </w:divBdr>
                                      <w:divsChild>
                                        <w:div w:id="1005286560">
                                          <w:marLeft w:val="0"/>
                                          <w:marRight w:val="0"/>
                                          <w:marTop w:val="0"/>
                                          <w:marBottom w:val="0"/>
                                          <w:divBdr>
                                            <w:top w:val="none" w:sz="0" w:space="0" w:color="auto"/>
                                            <w:left w:val="none" w:sz="0" w:space="0" w:color="auto"/>
                                            <w:bottom w:val="none" w:sz="0" w:space="0" w:color="auto"/>
                                            <w:right w:val="none" w:sz="0" w:space="0" w:color="auto"/>
                                          </w:divBdr>
                                          <w:divsChild>
                                            <w:div w:id="348065724">
                                              <w:marLeft w:val="0"/>
                                              <w:marRight w:val="0"/>
                                              <w:marTop w:val="0"/>
                                              <w:marBottom w:val="0"/>
                                              <w:divBdr>
                                                <w:top w:val="none" w:sz="0" w:space="0" w:color="auto"/>
                                                <w:left w:val="none" w:sz="0" w:space="0" w:color="auto"/>
                                                <w:bottom w:val="none" w:sz="0" w:space="0" w:color="auto"/>
                                                <w:right w:val="none" w:sz="0" w:space="0" w:color="auto"/>
                                              </w:divBdr>
                                              <w:divsChild>
                                                <w:div w:id="4593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2015-06-11T14:09:00Z</dcterms:created>
  <dcterms:modified xsi:type="dcterms:W3CDTF">2015-06-11T18:46:00Z</dcterms:modified>
</cp:coreProperties>
</file>