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5446B" w14:textId="77777777" w:rsidR="003A1F4F" w:rsidRPr="003A1F4F" w:rsidRDefault="003A1F4F" w:rsidP="003A1F4F">
      <w:pPr>
        <w:pBdr>
          <w:bottom w:val="single" w:sz="12" w:space="0" w:color="000000"/>
        </w:pBdr>
        <w:shd w:val="clear" w:color="auto" w:fill="FFFFFF"/>
        <w:spacing w:before="150" w:after="150" w:line="600" w:lineRule="atLeast"/>
        <w:outlineLvl w:val="0"/>
        <w:rPr>
          <w:rFonts w:ascii="inherit" w:eastAsia="Times New Roman" w:hAnsi="inherit" w:cs="Helvetica"/>
          <w:b/>
          <w:bCs/>
          <w:color w:val="444444"/>
          <w:kern w:val="36"/>
          <w:sz w:val="26"/>
          <w:szCs w:val="26"/>
          <w:lang w:val="en-GB"/>
        </w:rPr>
      </w:pPr>
      <w:r w:rsidRPr="003A1F4F">
        <w:rPr>
          <w:rFonts w:ascii="inherit" w:eastAsia="Times New Roman" w:hAnsi="inherit" w:cs="Helvetica"/>
          <w:b/>
          <w:bCs/>
          <w:color w:val="444444"/>
          <w:kern w:val="36"/>
          <w:sz w:val="26"/>
          <w:szCs w:val="26"/>
          <w:lang w:val="en-GB"/>
        </w:rPr>
        <w:fldChar w:fldCharType="begin"/>
      </w:r>
      <w:r w:rsidRPr="003A1F4F">
        <w:rPr>
          <w:rFonts w:ascii="inherit" w:eastAsia="Times New Roman" w:hAnsi="inherit" w:cs="Helvetica"/>
          <w:b/>
          <w:bCs/>
          <w:color w:val="444444"/>
          <w:kern w:val="36"/>
          <w:sz w:val="26"/>
          <w:szCs w:val="26"/>
          <w:lang w:val="en-GB"/>
        </w:rPr>
        <w:instrText xml:space="preserve"> HYPERLINK "http://www.badil.org/en/publication/press-releases/77-2016/4661-pr-en-201016-47.html" </w:instrText>
      </w:r>
      <w:r w:rsidRPr="003A1F4F">
        <w:rPr>
          <w:rFonts w:ascii="inherit" w:eastAsia="Times New Roman" w:hAnsi="inherit" w:cs="Helvetica"/>
          <w:b/>
          <w:bCs/>
          <w:color w:val="444444"/>
          <w:kern w:val="36"/>
          <w:sz w:val="26"/>
          <w:szCs w:val="26"/>
          <w:lang w:val="en-GB"/>
        </w:rPr>
        <w:fldChar w:fldCharType="separate"/>
      </w:r>
      <w:r w:rsidRPr="003A1F4F">
        <w:rPr>
          <w:rFonts w:ascii="inherit" w:eastAsia="Times New Roman" w:hAnsi="inherit" w:cs="Helvetica"/>
          <w:b/>
          <w:bCs/>
          <w:color w:val="E25832"/>
          <w:kern w:val="36"/>
          <w:sz w:val="26"/>
          <w:szCs w:val="26"/>
          <w:lang w:val="en-GB"/>
        </w:rPr>
        <w:t xml:space="preserve">(20 October 2016) European Parliament: BADIL and Al </w:t>
      </w:r>
      <w:proofErr w:type="spellStart"/>
      <w:r w:rsidRPr="003A1F4F">
        <w:rPr>
          <w:rFonts w:ascii="inherit" w:eastAsia="Times New Roman" w:hAnsi="inherit" w:cs="Helvetica"/>
          <w:b/>
          <w:bCs/>
          <w:color w:val="E25832"/>
          <w:kern w:val="36"/>
          <w:sz w:val="26"/>
          <w:szCs w:val="26"/>
          <w:lang w:val="en-GB"/>
        </w:rPr>
        <w:t>Mezan</w:t>
      </w:r>
      <w:proofErr w:type="spellEnd"/>
      <w:r w:rsidRPr="003A1F4F">
        <w:rPr>
          <w:rFonts w:ascii="inherit" w:eastAsia="Times New Roman" w:hAnsi="inherit" w:cs="Helvetica"/>
          <w:b/>
          <w:bCs/>
          <w:color w:val="E25832"/>
          <w:kern w:val="36"/>
          <w:sz w:val="26"/>
          <w:szCs w:val="26"/>
          <w:lang w:val="en-GB"/>
        </w:rPr>
        <w:t xml:space="preserve"> Discuss Accountability for International Law Violations with the Delegation for Relations with Palestine</w:t>
      </w:r>
      <w:r w:rsidRPr="003A1F4F">
        <w:rPr>
          <w:rFonts w:ascii="inherit" w:eastAsia="Times New Roman" w:hAnsi="inherit" w:cs="Helvetica"/>
          <w:b/>
          <w:bCs/>
          <w:color w:val="444444"/>
          <w:kern w:val="36"/>
          <w:sz w:val="26"/>
          <w:szCs w:val="26"/>
          <w:lang w:val="en-GB"/>
        </w:rPr>
        <w:fldChar w:fldCharType="end"/>
      </w:r>
      <w:r w:rsidRPr="003A1F4F">
        <w:rPr>
          <w:rFonts w:ascii="inherit" w:eastAsia="Times New Roman" w:hAnsi="inherit" w:cs="Helvetica"/>
          <w:b/>
          <w:bCs/>
          <w:color w:val="444444"/>
          <w:kern w:val="36"/>
          <w:sz w:val="26"/>
          <w:szCs w:val="26"/>
          <w:lang w:val="en-GB"/>
        </w:rPr>
        <w:t xml:space="preserve"> </w:t>
      </w:r>
    </w:p>
    <w:p w14:paraId="0EEE7D8A" w14:textId="77777777" w:rsidR="003A1F4F" w:rsidRDefault="003A1F4F" w:rsidP="003A1F4F">
      <w:pPr>
        <w:shd w:val="clear" w:color="auto" w:fill="FFFFFF"/>
        <w:spacing w:line="300" w:lineRule="atLeast"/>
        <w:jc w:val="both"/>
        <w:rPr>
          <w:rFonts w:ascii="Helvetica" w:eastAsia="Times New Roman" w:hAnsi="Helvetica" w:cs="Helvetica"/>
          <w:color w:val="666666"/>
          <w:sz w:val="21"/>
          <w:szCs w:val="21"/>
          <w:lang w:val="en-GB"/>
        </w:rPr>
      </w:pPr>
      <w:r>
        <w:rPr>
          <w:rFonts w:ascii="Helvetica" w:eastAsia="Times New Roman" w:hAnsi="Helvetica" w:cs="Helvetica"/>
          <w:color w:val="666666"/>
          <w:sz w:val="21"/>
          <w:szCs w:val="21"/>
          <w:lang w:val="en-GB"/>
        </w:rPr>
        <w:t>October 20, 2016</w:t>
      </w:r>
    </w:p>
    <w:p w14:paraId="6E52C13D" w14:textId="77777777" w:rsidR="003A1F4F" w:rsidRDefault="003A1F4F" w:rsidP="003A1F4F">
      <w:pPr>
        <w:shd w:val="clear" w:color="auto" w:fill="FFFFFF"/>
        <w:spacing w:line="300" w:lineRule="atLeast"/>
        <w:jc w:val="both"/>
        <w:rPr>
          <w:rFonts w:ascii="Helvetica" w:eastAsia="Times New Roman" w:hAnsi="Helvetica" w:cs="Helvetica"/>
          <w:color w:val="666666"/>
          <w:sz w:val="21"/>
          <w:szCs w:val="21"/>
          <w:lang w:val="en-GB"/>
        </w:rPr>
      </w:pPr>
      <w:proofErr w:type="spellStart"/>
      <w:r>
        <w:rPr>
          <w:rFonts w:ascii="Helvetica" w:eastAsia="Times New Roman" w:hAnsi="Helvetica" w:cs="Helvetica"/>
          <w:color w:val="666666"/>
          <w:sz w:val="21"/>
          <w:szCs w:val="21"/>
          <w:lang w:val="en-GB"/>
        </w:rPr>
        <w:t>Badil</w:t>
      </w:r>
      <w:proofErr w:type="spellEnd"/>
    </w:p>
    <w:p w14:paraId="77CC4482" w14:textId="77777777" w:rsidR="003A1F4F" w:rsidRDefault="003A1F4F" w:rsidP="003A1F4F">
      <w:pPr>
        <w:shd w:val="clear" w:color="auto" w:fill="FFFFFF"/>
        <w:spacing w:line="300" w:lineRule="atLeast"/>
        <w:jc w:val="both"/>
        <w:rPr>
          <w:rFonts w:ascii="Helvetica" w:eastAsia="Times New Roman" w:hAnsi="Helvetica" w:cs="Helvetica"/>
          <w:color w:val="666666"/>
          <w:sz w:val="21"/>
          <w:szCs w:val="21"/>
          <w:lang w:val="en-GB"/>
        </w:rPr>
      </w:pPr>
      <w:r w:rsidRPr="003A1F4F">
        <w:rPr>
          <w:rFonts w:ascii="Helvetica" w:eastAsia="Times New Roman" w:hAnsi="Helvetica" w:cs="Helvetica"/>
          <w:color w:val="666666"/>
          <w:sz w:val="21"/>
          <w:szCs w:val="21"/>
          <w:lang w:val="en-GB"/>
        </w:rPr>
        <w:t>http://www.badil.org/en/publication/press-releases/77-2016/4661-pr-en-201016-47.html</w:t>
      </w:r>
      <w:bookmarkStart w:id="0" w:name="_GoBack"/>
      <w:bookmarkEnd w:id="0"/>
    </w:p>
    <w:p w14:paraId="726D1919" w14:textId="77777777" w:rsidR="003A1F4F" w:rsidRPr="003A1F4F" w:rsidRDefault="003A1F4F" w:rsidP="003A1F4F">
      <w:pPr>
        <w:shd w:val="clear" w:color="auto" w:fill="FFFFFF"/>
        <w:spacing w:line="300" w:lineRule="atLeast"/>
        <w:jc w:val="both"/>
        <w:rPr>
          <w:rFonts w:ascii="Helvetica" w:eastAsia="Times New Roman" w:hAnsi="Helvetica" w:cs="Helvetica"/>
          <w:color w:val="666666"/>
          <w:sz w:val="21"/>
          <w:szCs w:val="21"/>
          <w:lang w:val="en-GB"/>
        </w:rPr>
      </w:pPr>
      <w:r w:rsidRPr="003A1F4F">
        <w:rPr>
          <w:rFonts w:ascii="Helvetica" w:eastAsia="Times New Roman" w:hAnsi="Helvetica" w:cs="Helvetica"/>
          <w:color w:val="666666"/>
          <w:sz w:val="21"/>
          <w:szCs w:val="21"/>
          <w:lang w:val="en-GB"/>
        </w:rPr>
        <w:t>PR/EN/201016/47</w:t>
      </w:r>
      <w:r w:rsidRPr="003A1F4F">
        <w:rPr>
          <w:rFonts w:ascii="Helvetica" w:eastAsia="Times New Roman" w:hAnsi="Helvetica" w:cs="Helvetica"/>
          <w:color w:val="666666"/>
          <w:sz w:val="21"/>
          <w:szCs w:val="21"/>
          <w:lang w:val="en-GB"/>
        </w:rPr>
        <w:br/>
        <w:t>On October 20</w:t>
      </w:r>
      <w:r w:rsidRPr="003A1F4F">
        <w:rPr>
          <w:rFonts w:ascii="Helvetica" w:eastAsia="Times New Roman" w:hAnsi="Helvetica" w:cs="Helvetica"/>
          <w:color w:val="666666"/>
          <w:sz w:val="16"/>
          <w:szCs w:val="16"/>
          <w:vertAlign w:val="superscript"/>
          <w:lang w:val="en-GB"/>
        </w:rPr>
        <w:t>th</w:t>
      </w:r>
      <w:r w:rsidRPr="003A1F4F">
        <w:rPr>
          <w:rFonts w:ascii="Helvetica" w:eastAsia="Times New Roman" w:hAnsi="Helvetica" w:cs="Helvetica"/>
          <w:color w:val="666666"/>
          <w:sz w:val="21"/>
          <w:szCs w:val="21"/>
          <w:lang w:val="en-GB"/>
        </w:rPr>
        <w:t xml:space="preserve"> 2016, BADIL Resource Centre for Palestinian Residency and Refugee Rights (BADIL) and Al </w:t>
      </w:r>
      <w:proofErr w:type="spellStart"/>
      <w:r w:rsidRPr="003A1F4F">
        <w:rPr>
          <w:rFonts w:ascii="Helvetica" w:eastAsia="Times New Roman" w:hAnsi="Helvetica" w:cs="Helvetica"/>
          <w:color w:val="666666"/>
          <w:sz w:val="21"/>
          <w:szCs w:val="21"/>
          <w:lang w:val="en-GB"/>
        </w:rPr>
        <w:t>Mezan</w:t>
      </w:r>
      <w:proofErr w:type="spellEnd"/>
      <w:r w:rsidRPr="003A1F4F">
        <w:rPr>
          <w:rFonts w:ascii="Helvetica" w:eastAsia="Times New Roman" w:hAnsi="Helvetica" w:cs="Helvetica"/>
          <w:color w:val="666666"/>
          <w:sz w:val="21"/>
          <w:szCs w:val="21"/>
          <w:lang w:val="en-GB"/>
        </w:rPr>
        <w:t xml:space="preserve"> Centre for Human Rights (Al </w:t>
      </w:r>
      <w:proofErr w:type="spellStart"/>
      <w:r w:rsidRPr="003A1F4F">
        <w:rPr>
          <w:rFonts w:ascii="Helvetica" w:eastAsia="Times New Roman" w:hAnsi="Helvetica" w:cs="Helvetica"/>
          <w:color w:val="666666"/>
          <w:sz w:val="21"/>
          <w:szCs w:val="21"/>
          <w:lang w:val="en-GB"/>
        </w:rPr>
        <w:t>Mezan</w:t>
      </w:r>
      <w:proofErr w:type="spellEnd"/>
      <w:r w:rsidRPr="003A1F4F">
        <w:rPr>
          <w:rFonts w:ascii="Helvetica" w:eastAsia="Times New Roman" w:hAnsi="Helvetica" w:cs="Helvetica"/>
          <w:color w:val="666666"/>
          <w:sz w:val="21"/>
          <w:szCs w:val="21"/>
          <w:lang w:val="en-GB"/>
        </w:rPr>
        <w:t xml:space="preserve">) hosted the </w:t>
      </w:r>
      <w:r w:rsidRPr="003A1F4F">
        <w:rPr>
          <w:rFonts w:ascii="Helvetica" w:eastAsia="Times New Roman" w:hAnsi="Helvetica" w:cs="Helvetica"/>
          <w:i/>
          <w:iCs/>
          <w:color w:val="666666"/>
          <w:sz w:val="21"/>
          <w:szCs w:val="21"/>
          <w:lang w:val="en-GB"/>
        </w:rPr>
        <w:t>Exchange of views on ensuring accountability for violations of international law in the occupied Palestinian Territories and on the UN database of businesses operating in Israeli settlements</w:t>
      </w:r>
      <w:r w:rsidRPr="003A1F4F">
        <w:rPr>
          <w:rFonts w:ascii="Helvetica" w:eastAsia="Times New Roman" w:hAnsi="Helvetica" w:cs="Helvetica"/>
          <w:color w:val="666666"/>
          <w:sz w:val="21"/>
          <w:szCs w:val="21"/>
          <w:lang w:val="en-GB"/>
        </w:rPr>
        <w:t xml:space="preserve"> at the European Parliament in Brussels. The discussion was led by Martina Anderson, the Chair of the Delegation for Relations with Palestine, who cited the database as a “necessary step” for the implementation of the UN resolution on Israeli settlements.</w:t>
      </w:r>
      <w:r w:rsidRPr="003A1F4F">
        <w:rPr>
          <w:rFonts w:ascii="Helvetica" w:eastAsia="Times New Roman" w:hAnsi="Helvetica" w:cs="Helvetica"/>
          <w:color w:val="666666"/>
          <w:sz w:val="21"/>
          <w:szCs w:val="21"/>
          <w:lang w:val="en-GB"/>
        </w:rPr>
        <w:br/>
        <w:t> </w:t>
      </w:r>
      <w:r w:rsidRPr="003A1F4F">
        <w:rPr>
          <w:rFonts w:ascii="Helvetica" w:eastAsia="Times New Roman" w:hAnsi="Helvetica" w:cs="Helvetica"/>
          <w:color w:val="666666"/>
          <w:sz w:val="21"/>
          <w:szCs w:val="21"/>
          <w:lang w:val="en-GB"/>
        </w:rPr>
        <w:br/>
        <w:t>The panel was held in the context of nearly 50 years of Israeli occupation of Palestine, a situation of international armed conflict, where violations of the applicable international humanitarian law and international human rights law are met with impunity by Israel, the Occupying Power. In about eight years, the Gaza Strip has been subjected to three full-scale military bombardments, and nearly ten years of illegal closure and blockade by Israel. Meanwhile, Israeli settlements continue to expand while the displacement of Palestinians and dispossession of land increases in step.</w:t>
      </w:r>
      <w:r w:rsidRPr="003A1F4F">
        <w:rPr>
          <w:rFonts w:ascii="Helvetica" w:eastAsia="Times New Roman" w:hAnsi="Helvetica" w:cs="Helvetica"/>
          <w:color w:val="666666"/>
          <w:sz w:val="21"/>
          <w:szCs w:val="21"/>
          <w:lang w:val="en-GB"/>
        </w:rPr>
        <w:br/>
        <w:t> </w:t>
      </w:r>
      <w:r w:rsidRPr="003A1F4F">
        <w:rPr>
          <w:rFonts w:ascii="Helvetica" w:eastAsia="Times New Roman" w:hAnsi="Helvetica" w:cs="Helvetica"/>
          <w:color w:val="666666"/>
          <w:sz w:val="21"/>
          <w:szCs w:val="21"/>
          <w:lang w:val="en-GB"/>
        </w:rPr>
        <w:br/>
      </w:r>
      <w:proofErr w:type="spellStart"/>
      <w:r w:rsidRPr="003A1F4F">
        <w:rPr>
          <w:rFonts w:ascii="Helvetica" w:eastAsia="Times New Roman" w:hAnsi="Helvetica" w:cs="Helvetica"/>
          <w:color w:val="666666"/>
          <w:sz w:val="21"/>
          <w:szCs w:val="21"/>
          <w:lang w:val="en-GB"/>
        </w:rPr>
        <w:t>Lubnah</w:t>
      </w:r>
      <w:proofErr w:type="spellEnd"/>
      <w:r w:rsidRPr="003A1F4F">
        <w:rPr>
          <w:rFonts w:ascii="Helvetica" w:eastAsia="Times New Roman" w:hAnsi="Helvetica" w:cs="Helvetica"/>
          <w:color w:val="666666"/>
          <w:sz w:val="21"/>
          <w:szCs w:val="21"/>
          <w:lang w:val="en-GB"/>
        </w:rPr>
        <w:t xml:space="preserve"> </w:t>
      </w:r>
      <w:proofErr w:type="spellStart"/>
      <w:r w:rsidRPr="003A1F4F">
        <w:rPr>
          <w:rFonts w:ascii="Helvetica" w:eastAsia="Times New Roman" w:hAnsi="Helvetica" w:cs="Helvetica"/>
          <w:color w:val="666666"/>
          <w:sz w:val="21"/>
          <w:szCs w:val="21"/>
          <w:lang w:val="en-GB"/>
        </w:rPr>
        <w:t>Shomali</w:t>
      </w:r>
      <w:proofErr w:type="spellEnd"/>
      <w:r w:rsidRPr="003A1F4F">
        <w:rPr>
          <w:rFonts w:ascii="Helvetica" w:eastAsia="Times New Roman" w:hAnsi="Helvetica" w:cs="Helvetica"/>
          <w:color w:val="666666"/>
          <w:sz w:val="21"/>
          <w:szCs w:val="21"/>
          <w:lang w:val="en-GB"/>
        </w:rPr>
        <w:t xml:space="preserve">, Advocacy Officer at BADIL, spoke about the two forms of forced population displacement: expulsion and deportation and population transfer as war crimes and/or crimes against humanity. </w:t>
      </w:r>
      <w:proofErr w:type="spellStart"/>
      <w:r w:rsidRPr="003A1F4F">
        <w:rPr>
          <w:rFonts w:ascii="Helvetica" w:eastAsia="Times New Roman" w:hAnsi="Helvetica" w:cs="Helvetica"/>
          <w:color w:val="666666"/>
          <w:sz w:val="21"/>
          <w:szCs w:val="21"/>
          <w:lang w:val="en-GB"/>
        </w:rPr>
        <w:t>Shomali</w:t>
      </w:r>
      <w:proofErr w:type="spellEnd"/>
      <w:r w:rsidRPr="003A1F4F">
        <w:rPr>
          <w:rFonts w:ascii="Helvetica" w:eastAsia="Times New Roman" w:hAnsi="Helvetica" w:cs="Helvetica"/>
          <w:color w:val="666666"/>
          <w:sz w:val="21"/>
          <w:szCs w:val="21"/>
          <w:lang w:val="en-GB"/>
        </w:rPr>
        <w:t xml:space="preserve"> described Israel’s creation of a coercive environment to alter the demographic composition in favor of Jewish Israeli colonizers. The </w:t>
      </w:r>
      <w:hyperlink r:id="rId5" w:history="1">
        <w:r w:rsidRPr="003A1F4F">
          <w:rPr>
            <w:rFonts w:ascii="Helvetica" w:eastAsia="Times New Roman" w:hAnsi="Helvetica" w:cs="Helvetica"/>
            <w:color w:val="E25832"/>
            <w:sz w:val="21"/>
            <w:szCs w:val="21"/>
            <w:lang w:val="en-GB"/>
          </w:rPr>
          <w:t>forcible population transfer</w:t>
        </w:r>
      </w:hyperlink>
      <w:r w:rsidRPr="003A1F4F">
        <w:rPr>
          <w:rFonts w:ascii="Helvetica" w:eastAsia="Times New Roman" w:hAnsi="Helvetica" w:cs="Helvetica"/>
          <w:color w:val="666666"/>
          <w:sz w:val="21"/>
          <w:szCs w:val="21"/>
          <w:lang w:val="en-GB"/>
        </w:rPr>
        <w:t xml:space="preserve"> is implemented through a host of discriminatory practices, polices, and laws, including </w:t>
      </w:r>
      <w:hyperlink r:id="rId6" w:history="1">
        <w:r w:rsidRPr="003A1F4F">
          <w:rPr>
            <w:rFonts w:ascii="Helvetica" w:eastAsia="Times New Roman" w:hAnsi="Helvetica" w:cs="Helvetica"/>
            <w:color w:val="E25832"/>
            <w:sz w:val="21"/>
            <w:szCs w:val="21"/>
            <w:lang w:val="en-GB"/>
          </w:rPr>
          <w:t>permit regimes</w:t>
        </w:r>
      </w:hyperlink>
      <w:r w:rsidRPr="003A1F4F">
        <w:rPr>
          <w:rFonts w:ascii="Helvetica" w:eastAsia="Times New Roman" w:hAnsi="Helvetica" w:cs="Helvetica"/>
          <w:color w:val="666666"/>
          <w:sz w:val="21"/>
          <w:szCs w:val="21"/>
          <w:lang w:val="en-GB"/>
        </w:rPr>
        <w:t xml:space="preserve">, </w:t>
      </w:r>
      <w:hyperlink r:id="rId7" w:history="1">
        <w:r w:rsidRPr="003A1F4F">
          <w:rPr>
            <w:rFonts w:ascii="Helvetica" w:eastAsia="Times New Roman" w:hAnsi="Helvetica" w:cs="Helvetica"/>
            <w:color w:val="E25832"/>
            <w:sz w:val="21"/>
            <w:szCs w:val="21"/>
            <w:lang w:val="en-GB"/>
          </w:rPr>
          <w:t>land confiscation and denial of use</w:t>
        </w:r>
      </w:hyperlink>
      <w:r w:rsidRPr="003A1F4F">
        <w:rPr>
          <w:rFonts w:ascii="Helvetica" w:eastAsia="Times New Roman" w:hAnsi="Helvetica" w:cs="Helvetica"/>
          <w:color w:val="666666"/>
          <w:sz w:val="21"/>
          <w:szCs w:val="21"/>
          <w:lang w:val="en-GB"/>
        </w:rPr>
        <w:t xml:space="preserve">, </w:t>
      </w:r>
      <w:hyperlink r:id="rId8" w:history="1">
        <w:r w:rsidRPr="003A1F4F">
          <w:rPr>
            <w:rFonts w:ascii="Helvetica" w:eastAsia="Times New Roman" w:hAnsi="Helvetica" w:cs="Helvetica"/>
            <w:color w:val="E25832"/>
            <w:sz w:val="21"/>
            <w:szCs w:val="21"/>
            <w:lang w:val="en-GB"/>
          </w:rPr>
          <w:t>discriminatory zoning and planning</w:t>
        </w:r>
      </w:hyperlink>
      <w:r w:rsidRPr="003A1F4F">
        <w:rPr>
          <w:rFonts w:ascii="Helvetica" w:eastAsia="Times New Roman" w:hAnsi="Helvetica" w:cs="Helvetica"/>
          <w:color w:val="666666"/>
          <w:sz w:val="21"/>
          <w:szCs w:val="21"/>
          <w:lang w:val="en-GB"/>
        </w:rPr>
        <w:t xml:space="preserve">, denial of access to natural resources, </w:t>
      </w:r>
      <w:hyperlink r:id="rId9" w:history="1">
        <w:r w:rsidRPr="003A1F4F">
          <w:rPr>
            <w:rFonts w:ascii="Helvetica" w:eastAsia="Times New Roman" w:hAnsi="Helvetica" w:cs="Helvetica"/>
            <w:color w:val="E25832"/>
            <w:sz w:val="21"/>
            <w:szCs w:val="21"/>
            <w:lang w:val="en-GB"/>
          </w:rPr>
          <w:t>denial of residency,</w:t>
        </w:r>
      </w:hyperlink>
      <w:r w:rsidRPr="003A1F4F">
        <w:rPr>
          <w:rFonts w:ascii="Helvetica" w:eastAsia="Times New Roman" w:hAnsi="Helvetica" w:cs="Helvetica"/>
          <w:color w:val="666666"/>
          <w:sz w:val="21"/>
          <w:szCs w:val="21"/>
          <w:lang w:val="en-GB"/>
        </w:rPr>
        <w:t xml:space="preserve"> segregation and isolation, suppression of the Palestinian people’s resistance and denial of right to reparation. </w:t>
      </w:r>
      <w:proofErr w:type="spellStart"/>
      <w:r w:rsidRPr="003A1F4F">
        <w:rPr>
          <w:rFonts w:ascii="Helvetica" w:eastAsia="Times New Roman" w:hAnsi="Helvetica" w:cs="Helvetica"/>
          <w:color w:val="666666"/>
          <w:sz w:val="21"/>
          <w:szCs w:val="21"/>
          <w:lang w:val="en-GB"/>
        </w:rPr>
        <w:t>Shomali</w:t>
      </w:r>
      <w:proofErr w:type="spellEnd"/>
      <w:r w:rsidRPr="003A1F4F">
        <w:rPr>
          <w:rFonts w:ascii="Helvetica" w:eastAsia="Times New Roman" w:hAnsi="Helvetica" w:cs="Helvetica"/>
          <w:color w:val="666666"/>
          <w:sz w:val="21"/>
          <w:szCs w:val="21"/>
          <w:lang w:val="en-GB"/>
        </w:rPr>
        <w:t xml:space="preserve"> gave examples of expanding settler colonies in East Jerusalem, the Jordan Valley, </w:t>
      </w:r>
      <w:proofErr w:type="spellStart"/>
      <w:r w:rsidRPr="003A1F4F">
        <w:rPr>
          <w:rFonts w:ascii="Helvetica" w:eastAsia="Times New Roman" w:hAnsi="Helvetica" w:cs="Helvetica"/>
          <w:color w:val="666666"/>
          <w:sz w:val="21"/>
          <w:szCs w:val="21"/>
          <w:lang w:val="en-GB"/>
        </w:rPr>
        <w:t>Etzion</w:t>
      </w:r>
      <w:proofErr w:type="spellEnd"/>
      <w:r w:rsidRPr="003A1F4F">
        <w:rPr>
          <w:rFonts w:ascii="Helvetica" w:eastAsia="Times New Roman" w:hAnsi="Helvetica" w:cs="Helvetica"/>
          <w:color w:val="666666"/>
          <w:sz w:val="21"/>
          <w:szCs w:val="21"/>
          <w:lang w:val="en-GB"/>
        </w:rPr>
        <w:t xml:space="preserve">, and the </w:t>
      </w:r>
      <w:hyperlink r:id="rId10" w:history="1">
        <w:r w:rsidRPr="003A1F4F">
          <w:rPr>
            <w:rFonts w:ascii="Helvetica" w:eastAsia="Times New Roman" w:hAnsi="Helvetica" w:cs="Helvetica"/>
            <w:color w:val="E25832"/>
            <w:sz w:val="21"/>
            <w:szCs w:val="21"/>
            <w:lang w:val="en-GB"/>
          </w:rPr>
          <w:t>Old City of Hebron.</w:t>
        </w:r>
      </w:hyperlink>
      <w:r w:rsidRPr="003A1F4F">
        <w:rPr>
          <w:rFonts w:ascii="Helvetica" w:eastAsia="Times New Roman" w:hAnsi="Helvetica" w:cs="Helvetica"/>
          <w:color w:val="666666"/>
          <w:sz w:val="21"/>
          <w:szCs w:val="21"/>
          <w:lang w:val="en-GB"/>
        </w:rPr>
        <w:br/>
        <w:t> </w:t>
      </w:r>
      <w:r w:rsidRPr="003A1F4F">
        <w:rPr>
          <w:rFonts w:ascii="Helvetica" w:eastAsia="Times New Roman" w:hAnsi="Helvetica" w:cs="Helvetica"/>
          <w:color w:val="666666"/>
          <w:sz w:val="21"/>
          <w:szCs w:val="21"/>
          <w:lang w:val="en-GB"/>
        </w:rPr>
        <w:br/>
        <w:t xml:space="preserve">Rania </w:t>
      </w:r>
      <w:proofErr w:type="spellStart"/>
      <w:r w:rsidRPr="003A1F4F">
        <w:rPr>
          <w:rFonts w:ascii="Helvetica" w:eastAsia="Times New Roman" w:hAnsi="Helvetica" w:cs="Helvetica"/>
          <w:color w:val="666666"/>
          <w:sz w:val="21"/>
          <w:szCs w:val="21"/>
          <w:lang w:val="en-GB"/>
        </w:rPr>
        <w:t>Madi</w:t>
      </w:r>
      <w:proofErr w:type="spellEnd"/>
      <w:r w:rsidRPr="003A1F4F">
        <w:rPr>
          <w:rFonts w:ascii="Helvetica" w:eastAsia="Times New Roman" w:hAnsi="Helvetica" w:cs="Helvetica"/>
          <w:color w:val="666666"/>
          <w:sz w:val="21"/>
          <w:szCs w:val="21"/>
          <w:lang w:val="en-GB"/>
        </w:rPr>
        <w:t xml:space="preserve">, UN Legal Advocacy Consultant at BADIL spoke about the illegality of Israeli settlements under international law, noting in particular article 49 of the Fourth Geneva Convention. </w:t>
      </w:r>
      <w:proofErr w:type="spellStart"/>
      <w:r w:rsidRPr="003A1F4F">
        <w:rPr>
          <w:rFonts w:ascii="Helvetica" w:eastAsia="Times New Roman" w:hAnsi="Helvetica" w:cs="Helvetica"/>
          <w:color w:val="666666"/>
          <w:sz w:val="21"/>
          <w:szCs w:val="21"/>
          <w:lang w:val="en-GB"/>
        </w:rPr>
        <w:t>Madi</w:t>
      </w:r>
      <w:proofErr w:type="spellEnd"/>
      <w:r w:rsidRPr="003A1F4F">
        <w:rPr>
          <w:rFonts w:ascii="Helvetica" w:eastAsia="Times New Roman" w:hAnsi="Helvetica" w:cs="Helvetica"/>
          <w:color w:val="666666"/>
          <w:sz w:val="21"/>
          <w:szCs w:val="21"/>
          <w:lang w:val="en-GB"/>
        </w:rPr>
        <w:t xml:space="preserve"> referenced the importance of the statements from International Court of Justice (Opinion on the Wall, 2004), the UN General Assembly, and Security Council. </w:t>
      </w:r>
      <w:proofErr w:type="spellStart"/>
      <w:r w:rsidRPr="003A1F4F">
        <w:rPr>
          <w:rFonts w:ascii="Helvetica" w:eastAsia="Times New Roman" w:hAnsi="Helvetica" w:cs="Helvetica"/>
          <w:color w:val="666666"/>
          <w:sz w:val="21"/>
          <w:szCs w:val="21"/>
          <w:lang w:val="en-GB"/>
        </w:rPr>
        <w:t>Madi</w:t>
      </w:r>
      <w:proofErr w:type="spellEnd"/>
      <w:r w:rsidRPr="003A1F4F">
        <w:rPr>
          <w:rFonts w:ascii="Helvetica" w:eastAsia="Times New Roman" w:hAnsi="Helvetica" w:cs="Helvetica"/>
          <w:color w:val="666666"/>
          <w:sz w:val="21"/>
          <w:szCs w:val="21"/>
          <w:lang w:val="en-GB"/>
        </w:rPr>
        <w:t xml:space="preserve"> referred to the companies that supply equipment and materials for the construction and expansion of the settlements and the wall, noted the </w:t>
      </w:r>
      <w:r w:rsidRPr="003A1F4F">
        <w:rPr>
          <w:rFonts w:ascii="Helvetica" w:eastAsia="Times New Roman" w:hAnsi="Helvetica" w:cs="Helvetica"/>
          <w:color w:val="666666"/>
          <w:sz w:val="21"/>
          <w:szCs w:val="21"/>
          <w:lang w:val="en-GB"/>
        </w:rPr>
        <w:lastRenderedPageBreak/>
        <w:t>physical presence of companies in check points, and cited the machines used by private companies based in western Europe (e.g. UK, Sweden and Germany) which are used by the Israeli authorities for the demolition of Palestinian houses and properties in violation of article 50 of the 1907 Hague Regulations as well as the 1949 Geneva Conventions.</w:t>
      </w:r>
      <w:r w:rsidRPr="003A1F4F">
        <w:rPr>
          <w:rFonts w:ascii="Helvetica" w:eastAsia="Times New Roman" w:hAnsi="Helvetica" w:cs="Helvetica"/>
          <w:color w:val="666666"/>
          <w:sz w:val="21"/>
          <w:szCs w:val="21"/>
          <w:lang w:val="en-GB"/>
        </w:rPr>
        <w:br/>
        <w:t> </w:t>
      </w:r>
      <w:r w:rsidRPr="003A1F4F">
        <w:rPr>
          <w:rFonts w:ascii="Helvetica" w:eastAsia="Times New Roman" w:hAnsi="Helvetica" w:cs="Helvetica"/>
          <w:color w:val="666666"/>
          <w:sz w:val="21"/>
          <w:szCs w:val="21"/>
          <w:lang w:val="en-GB"/>
        </w:rPr>
        <w:br/>
        <w:t xml:space="preserve">Mahmoud </w:t>
      </w:r>
      <w:proofErr w:type="spellStart"/>
      <w:r w:rsidRPr="003A1F4F">
        <w:rPr>
          <w:rFonts w:ascii="Helvetica" w:eastAsia="Times New Roman" w:hAnsi="Helvetica" w:cs="Helvetica"/>
          <w:color w:val="666666"/>
          <w:sz w:val="21"/>
          <w:szCs w:val="21"/>
          <w:lang w:val="en-GB"/>
        </w:rPr>
        <w:t>AbuRahma</w:t>
      </w:r>
      <w:proofErr w:type="spellEnd"/>
      <w:r w:rsidRPr="003A1F4F">
        <w:rPr>
          <w:rFonts w:ascii="Helvetica" w:eastAsia="Times New Roman" w:hAnsi="Helvetica" w:cs="Helvetica"/>
          <w:color w:val="666666"/>
          <w:sz w:val="21"/>
          <w:szCs w:val="21"/>
          <w:lang w:val="en-GB"/>
        </w:rPr>
        <w:t xml:space="preserve">, Director of Communications and International Relations at Al </w:t>
      </w:r>
      <w:proofErr w:type="spellStart"/>
      <w:r w:rsidRPr="003A1F4F">
        <w:rPr>
          <w:rFonts w:ascii="Helvetica" w:eastAsia="Times New Roman" w:hAnsi="Helvetica" w:cs="Helvetica"/>
          <w:color w:val="666666"/>
          <w:sz w:val="21"/>
          <w:szCs w:val="21"/>
          <w:lang w:val="en-GB"/>
        </w:rPr>
        <w:t>Mezan</w:t>
      </w:r>
      <w:proofErr w:type="spellEnd"/>
      <w:r w:rsidRPr="003A1F4F">
        <w:rPr>
          <w:rFonts w:ascii="Helvetica" w:eastAsia="Times New Roman" w:hAnsi="Helvetica" w:cs="Helvetica"/>
          <w:color w:val="666666"/>
          <w:sz w:val="21"/>
          <w:szCs w:val="21"/>
          <w:lang w:val="en-GB"/>
        </w:rPr>
        <w:t xml:space="preserve">, focused on the current failure of Israel’s domestic accountability mechanisms in relation to Palestinians, especially Palestinians of Gaza, noting in particular the resulting </w:t>
      </w:r>
      <w:hyperlink r:id="rId11" w:history="1">
        <w:r w:rsidRPr="003A1F4F">
          <w:rPr>
            <w:rFonts w:ascii="Helvetica" w:eastAsia="Times New Roman" w:hAnsi="Helvetica" w:cs="Helvetica"/>
            <w:color w:val="E25832"/>
            <w:sz w:val="21"/>
            <w:szCs w:val="21"/>
            <w:lang w:val="en-GB"/>
          </w:rPr>
          <w:t>impunity</w:t>
        </w:r>
      </w:hyperlink>
      <w:r w:rsidRPr="003A1F4F">
        <w:rPr>
          <w:rFonts w:ascii="Helvetica" w:eastAsia="Times New Roman" w:hAnsi="Helvetica" w:cs="Helvetica"/>
          <w:color w:val="666666"/>
          <w:sz w:val="21"/>
          <w:szCs w:val="21"/>
          <w:lang w:val="en-GB"/>
        </w:rPr>
        <w:t xml:space="preserve"> from “Operation Protective Edge” in 2014. Israel’s mechanisms are the product of a long history of legislative reforms that are manipulated to ensuring protection of state actors—as well as settlers—rather than securing justice and accountability that would deter and punish violations, and providing redress. </w:t>
      </w:r>
      <w:proofErr w:type="spellStart"/>
      <w:r w:rsidRPr="003A1F4F">
        <w:rPr>
          <w:rFonts w:ascii="Helvetica" w:eastAsia="Times New Roman" w:hAnsi="Helvetica" w:cs="Helvetica"/>
          <w:color w:val="666666"/>
          <w:sz w:val="21"/>
          <w:szCs w:val="21"/>
          <w:lang w:val="en-GB"/>
        </w:rPr>
        <w:t>AbuRahma</w:t>
      </w:r>
      <w:proofErr w:type="spellEnd"/>
      <w:r w:rsidRPr="003A1F4F">
        <w:rPr>
          <w:rFonts w:ascii="Helvetica" w:eastAsia="Times New Roman" w:hAnsi="Helvetica" w:cs="Helvetica"/>
          <w:color w:val="666666"/>
          <w:sz w:val="21"/>
          <w:szCs w:val="21"/>
          <w:lang w:val="en-GB"/>
        </w:rPr>
        <w:t xml:space="preserve"> detailed the current legislative, judicial and financial </w:t>
      </w:r>
      <w:hyperlink r:id="rId12" w:history="1">
        <w:r w:rsidRPr="003A1F4F">
          <w:rPr>
            <w:rFonts w:ascii="Helvetica" w:eastAsia="Times New Roman" w:hAnsi="Helvetica" w:cs="Helvetica"/>
            <w:color w:val="E25832"/>
            <w:sz w:val="21"/>
            <w:szCs w:val="21"/>
            <w:lang w:val="en-GB"/>
          </w:rPr>
          <w:t>shortcomings</w:t>
        </w:r>
      </w:hyperlink>
      <w:r w:rsidRPr="003A1F4F">
        <w:rPr>
          <w:rFonts w:ascii="Helvetica" w:eastAsia="Times New Roman" w:hAnsi="Helvetica" w:cs="Helvetica"/>
          <w:color w:val="666666"/>
          <w:sz w:val="21"/>
          <w:szCs w:val="21"/>
          <w:lang w:val="en-GB"/>
        </w:rPr>
        <w:t xml:space="preserve"> within Israel’s mechanisms against international standards. To illustrate Israel’s unwillingness to hold perpetrators to account, </w:t>
      </w:r>
      <w:proofErr w:type="spellStart"/>
      <w:r w:rsidRPr="003A1F4F">
        <w:rPr>
          <w:rFonts w:ascii="Helvetica" w:eastAsia="Times New Roman" w:hAnsi="Helvetica" w:cs="Helvetica"/>
          <w:color w:val="666666"/>
          <w:sz w:val="21"/>
          <w:szCs w:val="21"/>
          <w:lang w:val="en-GB"/>
        </w:rPr>
        <w:t>AbuRahma</w:t>
      </w:r>
      <w:proofErr w:type="spellEnd"/>
      <w:r w:rsidRPr="003A1F4F">
        <w:rPr>
          <w:rFonts w:ascii="Helvetica" w:eastAsia="Times New Roman" w:hAnsi="Helvetica" w:cs="Helvetica"/>
          <w:color w:val="666666"/>
          <w:sz w:val="21"/>
          <w:szCs w:val="21"/>
          <w:lang w:val="en-GB"/>
        </w:rPr>
        <w:t xml:space="preserve"> highlighted two prominent cases: the case of the killing of four Bakr children by Israeli forces on Gaza beach, which was </w:t>
      </w:r>
      <w:hyperlink r:id="rId13" w:history="1">
        <w:r w:rsidRPr="003A1F4F">
          <w:rPr>
            <w:rFonts w:ascii="Helvetica" w:eastAsia="Times New Roman" w:hAnsi="Helvetica" w:cs="Helvetica"/>
            <w:color w:val="E25832"/>
            <w:sz w:val="21"/>
            <w:szCs w:val="21"/>
            <w:lang w:val="en-GB"/>
          </w:rPr>
          <w:t>closed</w:t>
        </w:r>
      </w:hyperlink>
      <w:r w:rsidRPr="003A1F4F">
        <w:rPr>
          <w:rFonts w:ascii="Helvetica" w:eastAsia="Times New Roman" w:hAnsi="Helvetica" w:cs="Helvetica"/>
          <w:color w:val="666666"/>
          <w:sz w:val="21"/>
          <w:szCs w:val="21"/>
          <w:lang w:val="en-GB"/>
        </w:rPr>
        <w:t xml:space="preserve"> in June 2015, and the case of the UNRWA school attack in Rafah, which was </w:t>
      </w:r>
      <w:hyperlink r:id="rId14" w:history="1">
        <w:r w:rsidRPr="003A1F4F">
          <w:rPr>
            <w:rFonts w:ascii="Helvetica" w:eastAsia="Times New Roman" w:hAnsi="Helvetica" w:cs="Helvetica"/>
            <w:color w:val="E25832"/>
            <w:sz w:val="21"/>
            <w:szCs w:val="21"/>
            <w:lang w:val="en-GB"/>
          </w:rPr>
          <w:t>closed</w:t>
        </w:r>
      </w:hyperlink>
      <w:r w:rsidRPr="003A1F4F">
        <w:rPr>
          <w:rFonts w:ascii="Helvetica" w:eastAsia="Times New Roman" w:hAnsi="Helvetica" w:cs="Helvetica"/>
          <w:color w:val="666666"/>
          <w:sz w:val="21"/>
          <w:szCs w:val="21"/>
          <w:lang w:val="en-GB"/>
        </w:rPr>
        <w:t xml:space="preserve"> in August 2016, and put forward recommendations to break the current state of impunity by utilizing the UN, including the Human Rights Council, relying on EU pledges, and opening up domestic jurisdiction.</w:t>
      </w:r>
      <w:r w:rsidRPr="003A1F4F">
        <w:rPr>
          <w:rFonts w:ascii="Helvetica" w:eastAsia="Times New Roman" w:hAnsi="Helvetica" w:cs="Helvetica"/>
          <w:color w:val="666666"/>
          <w:sz w:val="21"/>
          <w:szCs w:val="21"/>
          <w:lang w:val="en-GB"/>
        </w:rPr>
        <w:br/>
        <w:t> </w:t>
      </w:r>
      <w:r w:rsidRPr="003A1F4F">
        <w:rPr>
          <w:rFonts w:ascii="Helvetica" w:eastAsia="Times New Roman" w:hAnsi="Helvetica" w:cs="Helvetica"/>
          <w:color w:val="666666"/>
          <w:sz w:val="21"/>
          <w:szCs w:val="21"/>
          <w:lang w:val="en-GB"/>
        </w:rPr>
        <w:br/>
        <w:t xml:space="preserve">The reality of Israel’s deliberate impunity within these systems and policies requires the urgent involvement of international justice mechanisms. The international community, including the EU and individual Member States, is indeed obligated to bring to an end any serious breaches of international law and to search for persons alleged to have committed, or to have ordered to be committed, grave breaches, and bring them, regardless of their nationality, to trial, in line with international law. The current reality in Europe is far from fulfilling these obligations and requires urgent address in Europe and within the EU’s engagement with the UN, as advocated for by the </w:t>
      </w:r>
      <w:proofErr w:type="spellStart"/>
      <w:r w:rsidRPr="003A1F4F">
        <w:rPr>
          <w:rFonts w:ascii="Helvetica" w:eastAsia="Times New Roman" w:hAnsi="Helvetica" w:cs="Helvetica"/>
          <w:color w:val="666666"/>
          <w:sz w:val="21"/>
          <w:szCs w:val="21"/>
          <w:lang w:val="en-GB"/>
        </w:rPr>
        <w:t>panelists</w:t>
      </w:r>
      <w:proofErr w:type="spellEnd"/>
      <w:r w:rsidRPr="003A1F4F">
        <w:rPr>
          <w:rFonts w:ascii="Helvetica" w:eastAsia="Times New Roman" w:hAnsi="Helvetica" w:cs="Helvetica"/>
          <w:color w:val="666666"/>
          <w:sz w:val="21"/>
          <w:szCs w:val="21"/>
          <w:lang w:val="en-GB"/>
        </w:rPr>
        <w:t>. </w:t>
      </w:r>
    </w:p>
    <w:p w14:paraId="5E68C73F" w14:textId="77777777" w:rsidR="002711F6" w:rsidRDefault="003A1F4F"/>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E1A82"/>
    <w:multiLevelType w:val="multilevel"/>
    <w:tmpl w:val="4B24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4F"/>
    <w:rsid w:val="003A1F4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F0B5"/>
  <w15:chartTrackingRefBased/>
  <w15:docId w15:val="{9739099E-5D3F-437C-A912-7C0B348E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1F4F"/>
    <w:pPr>
      <w:pBdr>
        <w:bottom w:val="single" w:sz="12" w:space="0" w:color="000000"/>
      </w:pBdr>
      <w:spacing w:before="150" w:after="150" w:line="600" w:lineRule="atLeast"/>
      <w:outlineLvl w:val="0"/>
    </w:pPr>
    <w:rPr>
      <w:rFonts w:ascii="inherit" w:eastAsia="Times New Roman" w:hAnsi="inherit" w:cs="Times New Roman"/>
      <w:b/>
      <w:bCs/>
      <w:color w:val="444444"/>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F4F"/>
    <w:rPr>
      <w:rFonts w:ascii="inherit" w:eastAsia="Times New Roman" w:hAnsi="inherit" w:cs="Times New Roman"/>
      <w:b/>
      <w:bCs/>
      <w:color w:val="444444"/>
      <w:kern w:val="36"/>
      <w:sz w:val="26"/>
      <w:szCs w:val="26"/>
    </w:rPr>
  </w:style>
  <w:style w:type="character" w:styleId="Hyperlink">
    <w:name w:val="Hyperlink"/>
    <w:basedOn w:val="DefaultParagraphFont"/>
    <w:uiPriority w:val="99"/>
    <w:semiHidden/>
    <w:unhideWhenUsed/>
    <w:rsid w:val="003A1F4F"/>
    <w:rPr>
      <w:strike w:val="0"/>
      <w:dstrike w:val="0"/>
      <w:color w:val="E25832"/>
      <w:u w:val="none"/>
      <w:effect w:val="none"/>
    </w:rPr>
  </w:style>
  <w:style w:type="character" w:styleId="Emphasis">
    <w:name w:val="Emphasis"/>
    <w:basedOn w:val="DefaultParagraphFont"/>
    <w:uiPriority w:val="20"/>
    <w:qFormat/>
    <w:rsid w:val="003A1F4F"/>
    <w:rPr>
      <w:i/>
      <w:iCs/>
    </w:rPr>
  </w:style>
  <w:style w:type="character" w:customStyle="1" w:styleId="hits">
    <w:name w:val="hits"/>
    <w:basedOn w:val="DefaultParagraphFont"/>
    <w:rsid w:val="003A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67610">
      <w:bodyDiv w:val="1"/>
      <w:marLeft w:val="0"/>
      <w:marRight w:val="0"/>
      <w:marTop w:val="0"/>
      <w:marBottom w:val="0"/>
      <w:divBdr>
        <w:top w:val="none" w:sz="0" w:space="0" w:color="auto"/>
        <w:left w:val="none" w:sz="0" w:space="0" w:color="auto"/>
        <w:bottom w:val="none" w:sz="0" w:space="0" w:color="auto"/>
        <w:right w:val="none" w:sz="0" w:space="0" w:color="auto"/>
      </w:divBdr>
      <w:divsChild>
        <w:div w:id="1230649456">
          <w:marLeft w:val="0"/>
          <w:marRight w:val="0"/>
          <w:marTop w:val="0"/>
          <w:marBottom w:val="450"/>
          <w:divBdr>
            <w:top w:val="none" w:sz="0" w:space="0" w:color="auto"/>
            <w:left w:val="none" w:sz="0" w:space="0" w:color="auto"/>
            <w:bottom w:val="none" w:sz="0" w:space="0" w:color="auto"/>
            <w:right w:val="none" w:sz="0" w:space="0" w:color="auto"/>
          </w:divBdr>
          <w:divsChild>
            <w:div w:id="1879663298">
              <w:marLeft w:val="0"/>
              <w:marRight w:val="0"/>
              <w:marTop w:val="0"/>
              <w:marBottom w:val="0"/>
              <w:divBdr>
                <w:top w:val="none" w:sz="0" w:space="0" w:color="auto"/>
                <w:left w:val="none" w:sz="0" w:space="0" w:color="auto"/>
                <w:bottom w:val="none" w:sz="0" w:space="0" w:color="auto"/>
                <w:right w:val="none" w:sz="0" w:space="0" w:color="auto"/>
              </w:divBdr>
              <w:divsChild>
                <w:div w:id="301039291">
                  <w:marLeft w:val="0"/>
                  <w:marRight w:val="0"/>
                  <w:marTop w:val="0"/>
                  <w:marBottom w:val="300"/>
                  <w:divBdr>
                    <w:top w:val="none" w:sz="0" w:space="0" w:color="auto"/>
                    <w:left w:val="none" w:sz="0" w:space="0" w:color="auto"/>
                    <w:bottom w:val="none" w:sz="0" w:space="0" w:color="auto"/>
                    <w:right w:val="none" w:sz="0" w:space="0" w:color="auto"/>
                  </w:divBdr>
                  <w:divsChild>
                    <w:div w:id="1658536945">
                      <w:marLeft w:val="0"/>
                      <w:marRight w:val="0"/>
                      <w:marTop w:val="0"/>
                      <w:marBottom w:val="0"/>
                      <w:divBdr>
                        <w:top w:val="none" w:sz="0" w:space="0" w:color="auto"/>
                        <w:left w:val="none" w:sz="0" w:space="0" w:color="auto"/>
                        <w:bottom w:val="none" w:sz="0" w:space="0" w:color="auto"/>
                        <w:right w:val="none" w:sz="0" w:space="0" w:color="auto"/>
                      </w:divBdr>
                      <w:divsChild>
                        <w:div w:id="1550458324">
                          <w:marLeft w:val="0"/>
                          <w:marRight w:val="0"/>
                          <w:marTop w:val="0"/>
                          <w:marBottom w:val="300"/>
                          <w:divBdr>
                            <w:top w:val="none" w:sz="0" w:space="0" w:color="auto"/>
                            <w:left w:val="none" w:sz="0" w:space="0" w:color="auto"/>
                            <w:bottom w:val="none" w:sz="0" w:space="0" w:color="auto"/>
                            <w:right w:val="none" w:sz="0" w:space="0" w:color="auto"/>
                          </w:divBdr>
                          <w:divsChild>
                            <w:div w:id="1144270527">
                              <w:marLeft w:val="0"/>
                              <w:marRight w:val="0"/>
                              <w:marTop w:val="0"/>
                              <w:marBottom w:val="0"/>
                              <w:divBdr>
                                <w:top w:val="none" w:sz="0" w:space="0" w:color="auto"/>
                                <w:left w:val="none" w:sz="0" w:space="0" w:color="auto"/>
                                <w:bottom w:val="none" w:sz="0" w:space="0" w:color="auto"/>
                                <w:right w:val="none" w:sz="0" w:space="0" w:color="auto"/>
                              </w:divBdr>
                              <w:divsChild>
                                <w:div w:id="1459492607">
                                  <w:marLeft w:val="0"/>
                                  <w:marRight w:val="0"/>
                                  <w:marTop w:val="0"/>
                                  <w:marBottom w:val="0"/>
                                  <w:divBdr>
                                    <w:top w:val="none" w:sz="0" w:space="0" w:color="auto"/>
                                    <w:left w:val="none" w:sz="0" w:space="0" w:color="auto"/>
                                    <w:bottom w:val="none" w:sz="0" w:space="0" w:color="auto"/>
                                    <w:right w:val="none" w:sz="0" w:space="0" w:color="auto"/>
                                  </w:divBdr>
                                  <w:divsChild>
                                    <w:div w:id="6599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il.org/phocadownloadpap/badil-new/publications/research/working-papers/wp17-zoninig-plannig-en.pdf" TargetMode="External"/><Relationship Id="rId13" Type="http://schemas.openxmlformats.org/officeDocument/2006/relationships/hyperlink" Target="http://www.mezan.org/en/post/20956" TargetMode="External"/><Relationship Id="rId3" Type="http://schemas.openxmlformats.org/officeDocument/2006/relationships/settings" Target="settings.xml"/><Relationship Id="rId7" Type="http://schemas.openxmlformats.org/officeDocument/2006/relationships/hyperlink" Target="http://www.badil.org/phocadownloadpap/Badil_docs/publications/handbook2013eng.pdf" TargetMode="External"/><Relationship Id="rId12" Type="http://schemas.openxmlformats.org/officeDocument/2006/relationships/hyperlink" Target="http://mezan.org/en/post/209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dil.org/phocadownloadpap/badil-new/publications/research/working-papers/wp18-FPT-Israeli-permit-system.pdf" TargetMode="External"/><Relationship Id="rId11" Type="http://schemas.openxmlformats.org/officeDocument/2006/relationships/hyperlink" Target="http://www.mezan.org/en/post/21501" TargetMode="External"/><Relationship Id="rId5" Type="http://schemas.openxmlformats.org/officeDocument/2006/relationships/hyperlink" Target="http://www.badil.org/phocadownloadpap/Badil_docs/publications/wp15-introduction.pdf" TargetMode="External"/><Relationship Id="rId15" Type="http://schemas.openxmlformats.org/officeDocument/2006/relationships/fontTable" Target="fontTable.xml"/><Relationship Id="rId10" Type="http://schemas.openxmlformats.org/officeDocument/2006/relationships/hyperlink" Target="http://www.badil.org/phocadownloadpap/badil-new/publications/research/working-papers/CaseStudyFPT-Hebron(August2016).pdf" TargetMode="External"/><Relationship Id="rId4" Type="http://schemas.openxmlformats.org/officeDocument/2006/relationships/webSettings" Target="webSettings.xml"/><Relationship Id="rId9" Type="http://schemas.openxmlformats.org/officeDocument/2006/relationships/hyperlink" Target="http://www.badil.org/phocadownloadpap/Badil_docs/publications/wp16-Residency.pdf" TargetMode="External"/><Relationship Id="rId14" Type="http://schemas.openxmlformats.org/officeDocument/2006/relationships/hyperlink" Target="http://mezan.org/en/post/2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2017-03-02T01:37:00Z</dcterms:created>
  <dcterms:modified xsi:type="dcterms:W3CDTF">2017-03-02T01:38:00Z</dcterms:modified>
</cp:coreProperties>
</file>