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16" w:rsidRPr="000E6DE8" w:rsidRDefault="00F54416" w:rsidP="00F54416">
      <w:pPr>
        <w:spacing w:line="360" w:lineRule="auto"/>
        <w:jc w:val="right"/>
        <w:rPr>
          <w:bCs/>
          <w:i/>
          <w:sz w:val="28"/>
          <w:szCs w:val="28"/>
          <w:u w:val="single"/>
          <w:lang w:val="en-GB"/>
        </w:rPr>
      </w:pPr>
      <w:r w:rsidRPr="000E6DE8">
        <w:rPr>
          <w:bCs/>
          <w:i/>
          <w:sz w:val="28"/>
          <w:szCs w:val="28"/>
          <w:u w:val="single"/>
          <w:lang w:val="en-GB"/>
        </w:rPr>
        <w:t>Check against delivery</w:t>
      </w:r>
    </w:p>
    <w:p w:rsidR="006D4699" w:rsidRDefault="006D4699" w:rsidP="006D4699">
      <w:pPr>
        <w:spacing w:line="360" w:lineRule="auto"/>
        <w:jc w:val="right"/>
        <w:rPr>
          <w:bCs/>
          <w:i/>
          <w:sz w:val="28"/>
          <w:szCs w:val="28"/>
          <w:u w:val="single"/>
          <w:lang w:val="en-GB"/>
        </w:rPr>
      </w:pPr>
    </w:p>
    <w:p w:rsidR="00FF6F7B" w:rsidRPr="000E6DE8" w:rsidRDefault="00FF6F7B" w:rsidP="006D4699">
      <w:pPr>
        <w:spacing w:line="360" w:lineRule="auto"/>
        <w:jc w:val="right"/>
        <w:rPr>
          <w:bCs/>
          <w:sz w:val="28"/>
          <w:szCs w:val="28"/>
          <w:u w:val="single"/>
          <w:lang w:val="en-GB"/>
        </w:rPr>
      </w:pPr>
    </w:p>
    <w:p w:rsidR="006D4699" w:rsidRPr="000E6DE8" w:rsidRDefault="006D4699" w:rsidP="006D4699">
      <w:pPr>
        <w:spacing w:line="360" w:lineRule="auto"/>
        <w:jc w:val="right"/>
        <w:rPr>
          <w:bCs/>
          <w:sz w:val="28"/>
          <w:szCs w:val="28"/>
          <w:u w:val="single"/>
          <w:lang w:val="en-GB"/>
        </w:rPr>
      </w:pPr>
    </w:p>
    <w:p w:rsidR="006D4699" w:rsidRPr="000E6DE8" w:rsidRDefault="006D4699" w:rsidP="006D4699">
      <w:pPr>
        <w:spacing w:line="360" w:lineRule="auto"/>
        <w:rPr>
          <w:b/>
          <w:sz w:val="28"/>
          <w:szCs w:val="28"/>
          <w:lang w:val="en-GB"/>
        </w:rPr>
      </w:pPr>
    </w:p>
    <w:p w:rsidR="006D4699" w:rsidRPr="000E6DE8" w:rsidRDefault="006D4699" w:rsidP="00A356ED">
      <w:pPr>
        <w:jc w:val="center"/>
        <w:rPr>
          <w:b/>
          <w:sz w:val="32"/>
          <w:szCs w:val="32"/>
          <w:lang w:val="en-GB"/>
        </w:rPr>
      </w:pPr>
      <w:r w:rsidRPr="000E6DE8">
        <w:rPr>
          <w:b/>
          <w:sz w:val="32"/>
          <w:szCs w:val="32"/>
          <w:lang w:val="en-GB"/>
        </w:rPr>
        <w:t xml:space="preserve">Human Rights Council </w:t>
      </w:r>
      <w:r w:rsidR="00A356ED">
        <w:rPr>
          <w:b/>
          <w:sz w:val="32"/>
          <w:szCs w:val="32"/>
          <w:lang w:val="en-GB"/>
        </w:rPr>
        <w:t>46</w:t>
      </w:r>
      <w:r w:rsidR="00A356ED" w:rsidRPr="00A356ED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</w:t>
      </w:r>
      <w:r w:rsidRPr="000E6DE8">
        <w:rPr>
          <w:b/>
          <w:sz w:val="32"/>
          <w:szCs w:val="32"/>
          <w:lang w:val="en-GB"/>
        </w:rPr>
        <w:t>Session</w:t>
      </w:r>
    </w:p>
    <w:p w:rsidR="006D4699" w:rsidRPr="000E6DE8" w:rsidRDefault="006D4699" w:rsidP="006D4699">
      <w:pPr>
        <w:jc w:val="center"/>
        <w:rPr>
          <w:b/>
          <w:sz w:val="32"/>
          <w:szCs w:val="32"/>
          <w:lang w:val="en-GB"/>
        </w:rPr>
      </w:pPr>
    </w:p>
    <w:p w:rsidR="006D4699" w:rsidRPr="000E6DE8" w:rsidRDefault="006D4699" w:rsidP="006D4699">
      <w:pPr>
        <w:jc w:val="center"/>
        <w:rPr>
          <w:b/>
          <w:sz w:val="32"/>
          <w:szCs w:val="32"/>
          <w:lang w:val="en-GB"/>
        </w:rPr>
      </w:pPr>
    </w:p>
    <w:p w:rsidR="006D4699" w:rsidRPr="000E6DE8" w:rsidRDefault="006D4699" w:rsidP="006D4699">
      <w:pPr>
        <w:jc w:val="center"/>
        <w:rPr>
          <w:b/>
          <w:sz w:val="32"/>
          <w:szCs w:val="32"/>
          <w:lang w:val="en-GB"/>
        </w:rPr>
      </w:pPr>
      <w:r w:rsidRPr="000E6DE8">
        <w:rPr>
          <w:b/>
          <w:sz w:val="32"/>
          <w:szCs w:val="32"/>
          <w:lang w:val="en-GB"/>
        </w:rPr>
        <w:t>Agenda Item</w:t>
      </w:r>
      <w:r w:rsidR="00F309AA">
        <w:rPr>
          <w:b/>
          <w:sz w:val="32"/>
          <w:szCs w:val="32"/>
          <w:lang w:val="en-GB"/>
        </w:rPr>
        <w:t xml:space="preserve"> </w:t>
      </w:r>
      <w:r w:rsidRPr="000E6DE8">
        <w:rPr>
          <w:b/>
          <w:sz w:val="32"/>
          <w:szCs w:val="32"/>
          <w:lang w:val="en-GB"/>
        </w:rPr>
        <w:t>7</w:t>
      </w:r>
    </w:p>
    <w:p w:rsidR="006D4699" w:rsidRPr="000E6DE8" w:rsidRDefault="006D4699" w:rsidP="006D4699">
      <w:pPr>
        <w:spacing w:line="360" w:lineRule="auto"/>
        <w:jc w:val="right"/>
        <w:rPr>
          <w:bCs/>
          <w:sz w:val="28"/>
          <w:szCs w:val="28"/>
          <w:u w:val="single"/>
          <w:lang w:val="en-GB"/>
        </w:rPr>
      </w:pPr>
    </w:p>
    <w:p w:rsidR="006D4699" w:rsidRPr="000E6DE8" w:rsidRDefault="006D4699" w:rsidP="006D4699">
      <w:pPr>
        <w:spacing w:line="360" w:lineRule="auto"/>
        <w:jc w:val="right"/>
        <w:rPr>
          <w:bCs/>
          <w:sz w:val="28"/>
          <w:szCs w:val="28"/>
          <w:u w:val="single"/>
          <w:lang w:val="en-GB"/>
        </w:rPr>
      </w:pPr>
    </w:p>
    <w:p w:rsidR="006D4699" w:rsidRPr="000E6DE8" w:rsidRDefault="006D4699" w:rsidP="006D4699">
      <w:pPr>
        <w:spacing w:line="360" w:lineRule="auto"/>
        <w:jc w:val="right"/>
        <w:rPr>
          <w:bCs/>
          <w:sz w:val="28"/>
          <w:szCs w:val="28"/>
          <w:u w:val="single"/>
          <w:lang w:val="en-GB"/>
        </w:rPr>
      </w:pPr>
    </w:p>
    <w:p w:rsidR="006D4699" w:rsidRPr="000E6DE8" w:rsidRDefault="006D4699" w:rsidP="006D4699">
      <w:pPr>
        <w:spacing w:line="360" w:lineRule="auto"/>
        <w:jc w:val="right"/>
        <w:rPr>
          <w:bCs/>
          <w:sz w:val="28"/>
          <w:szCs w:val="28"/>
          <w:u w:val="single"/>
          <w:lang w:val="en-GB"/>
        </w:rPr>
      </w:pPr>
    </w:p>
    <w:p w:rsidR="006D4699" w:rsidRPr="000E6DE8" w:rsidRDefault="006D4699" w:rsidP="006D4699">
      <w:pPr>
        <w:spacing w:line="360" w:lineRule="auto"/>
        <w:jc w:val="center"/>
        <w:rPr>
          <w:bCs/>
          <w:sz w:val="28"/>
          <w:szCs w:val="28"/>
          <w:u w:val="single"/>
          <w:lang w:val="en-GB"/>
        </w:rPr>
      </w:pPr>
      <w:r w:rsidRPr="000E6DE8">
        <w:rPr>
          <w:noProof/>
          <w:lang w:eastAsia="en-US"/>
        </w:rPr>
        <w:drawing>
          <wp:inline distT="0" distB="0" distL="0" distR="0" wp14:anchorId="0B2AFD49" wp14:editId="0B439CA9">
            <wp:extent cx="3103880" cy="1429385"/>
            <wp:effectExtent l="0" t="0" r="0" b="0"/>
            <wp:docPr id="1" name="Picture 1" descr="Office_logo_EN_black_SMALL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_logo_EN_black_SMALL_72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99" w:rsidRPr="000E6DE8" w:rsidRDefault="006D4699" w:rsidP="006D4699">
      <w:pPr>
        <w:spacing w:line="360" w:lineRule="auto"/>
        <w:rPr>
          <w:b/>
          <w:sz w:val="28"/>
          <w:szCs w:val="28"/>
          <w:lang w:val="en-GB"/>
        </w:rPr>
      </w:pPr>
    </w:p>
    <w:p w:rsidR="006D4699" w:rsidRPr="000E6DE8" w:rsidRDefault="006D4699" w:rsidP="006D4699">
      <w:pPr>
        <w:spacing w:line="360" w:lineRule="auto"/>
        <w:rPr>
          <w:b/>
          <w:sz w:val="28"/>
          <w:szCs w:val="28"/>
          <w:lang w:val="en-GB"/>
        </w:rPr>
      </w:pPr>
    </w:p>
    <w:p w:rsidR="006D4699" w:rsidRPr="000E6DE8" w:rsidRDefault="006D4699" w:rsidP="006D4699">
      <w:pPr>
        <w:spacing w:line="360" w:lineRule="auto"/>
        <w:jc w:val="center"/>
        <w:rPr>
          <w:bCs/>
          <w:sz w:val="32"/>
          <w:szCs w:val="32"/>
          <w:lang w:val="en-GB"/>
        </w:rPr>
      </w:pPr>
    </w:p>
    <w:p w:rsidR="006D4699" w:rsidRPr="000E6DE8" w:rsidRDefault="006D4699" w:rsidP="006D4699">
      <w:pPr>
        <w:spacing w:line="360" w:lineRule="auto"/>
        <w:jc w:val="center"/>
        <w:rPr>
          <w:bCs/>
          <w:sz w:val="32"/>
          <w:szCs w:val="32"/>
          <w:lang w:val="en-GB"/>
        </w:rPr>
      </w:pPr>
    </w:p>
    <w:p w:rsidR="006D4699" w:rsidRPr="000E6DE8" w:rsidRDefault="006D4699" w:rsidP="006D4699">
      <w:pPr>
        <w:spacing w:line="360" w:lineRule="auto"/>
        <w:jc w:val="center"/>
        <w:rPr>
          <w:bCs/>
          <w:sz w:val="32"/>
          <w:szCs w:val="32"/>
          <w:lang w:val="en-GB"/>
        </w:rPr>
      </w:pPr>
    </w:p>
    <w:p w:rsidR="006D4699" w:rsidRPr="000E6DE8" w:rsidRDefault="006D4699" w:rsidP="006D4699">
      <w:pPr>
        <w:ind w:right="-192"/>
        <w:jc w:val="center"/>
        <w:rPr>
          <w:b/>
          <w:sz w:val="32"/>
          <w:szCs w:val="32"/>
          <w:lang w:val="en-GB"/>
        </w:rPr>
      </w:pPr>
      <w:r w:rsidRPr="000E6DE8">
        <w:rPr>
          <w:b/>
          <w:sz w:val="32"/>
          <w:szCs w:val="32"/>
          <w:lang w:val="en-GB"/>
        </w:rPr>
        <w:t xml:space="preserve">Introductory remarks by </w:t>
      </w:r>
    </w:p>
    <w:p w:rsidR="006D4699" w:rsidRDefault="009A15FA" w:rsidP="006D4699">
      <w:pPr>
        <w:ind w:right="-192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Michelle Bachelet,</w:t>
      </w:r>
    </w:p>
    <w:p w:rsidR="006D4699" w:rsidRPr="00B365B0" w:rsidRDefault="00B365B0" w:rsidP="006D4699">
      <w:pPr>
        <w:spacing w:line="360" w:lineRule="auto"/>
        <w:jc w:val="center"/>
        <w:rPr>
          <w:b/>
          <w:sz w:val="32"/>
          <w:szCs w:val="32"/>
          <w:lang w:val="en-GB"/>
        </w:rPr>
      </w:pPr>
      <w:r w:rsidRPr="00B365B0">
        <w:rPr>
          <w:b/>
          <w:sz w:val="32"/>
          <w:szCs w:val="32"/>
          <w:lang w:val="en-GB"/>
        </w:rPr>
        <w:t>United Nations High Commissioner for Human Rights</w:t>
      </w:r>
    </w:p>
    <w:p w:rsidR="006D4699" w:rsidRPr="00B365B0" w:rsidRDefault="006D4699" w:rsidP="006D4699">
      <w:pPr>
        <w:spacing w:line="360" w:lineRule="auto"/>
        <w:jc w:val="center"/>
        <w:rPr>
          <w:b/>
          <w:sz w:val="32"/>
          <w:szCs w:val="32"/>
          <w:lang w:val="en-GB"/>
        </w:rPr>
      </w:pPr>
    </w:p>
    <w:p w:rsidR="006D4699" w:rsidRPr="000E6DE8" w:rsidRDefault="006D4699" w:rsidP="006D4699">
      <w:pPr>
        <w:spacing w:line="360" w:lineRule="auto"/>
        <w:jc w:val="center"/>
        <w:rPr>
          <w:sz w:val="32"/>
          <w:szCs w:val="32"/>
          <w:lang w:val="en-GB"/>
        </w:rPr>
      </w:pPr>
    </w:p>
    <w:p w:rsidR="006D4699" w:rsidRPr="000E6DE8" w:rsidRDefault="006D4699" w:rsidP="008354AE">
      <w:pPr>
        <w:jc w:val="center"/>
        <w:rPr>
          <w:lang w:val="en-GB"/>
        </w:rPr>
      </w:pPr>
      <w:r w:rsidRPr="000E6DE8">
        <w:rPr>
          <w:b/>
          <w:sz w:val="32"/>
          <w:szCs w:val="32"/>
          <w:lang w:val="en-GB"/>
        </w:rPr>
        <w:t xml:space="preserve">Geneva, </w:t>
      </w:r>
      <w:r w:rsidR="008354AE">
        <w:rPr>
          <w:b/>
          <w:sz w:val="32"/>
          <w:szCs w:val="32"/>
          <w:lang w:val="en-GB"/>
        </w:rPr>
        <w:t>1</w:t>
      </w:r>
      <w:r w:rsidR="0000522F">
        <w:rPr>
          <w:b/>
          <w:sz w:val="32"/>
          <w:szCs w:val="32"/>
          <w:lang w:val="en-GB"/>
        </w:rPr>
        <w:t>8</w:t>
      </w:r>
      <w:r w:rsidR="008354AE">
        <w:rPr>
          <w:b/>
          <w:sz w:val="32"/>
          <w:szCs w:val="32"/>
          <w:lang w:val="en-GB"/>
        </w:rPr>
        <w:t xml:space="preserve"> March</w:t>
      </w:r>
      <w:r w:rsidR="00637E5B">
        <w:rPr>
          <w:b/>
          <w:sz w:val="32"/>
          <w:szCs w:val="32"/>
          <w:lang w:val="en-GB"/>
        </w:rPr>
        <w:t xml:space="preserve"> </w:t>
      </w:r>
      <w:r w:rsidR="00A356ED">
        <w:rPr>
          <w:b/>
          <w:sz w:val="32"/>
          <w:szCs w:val="32"/>
          <w:lang w:val="en-GB"/>
        </w:rPr>
        <w:t>2021</w:t>
      </w:r>
      <w:r w:rsidR="00637E5B">
        <w:rPr>
          <w:b/>
          <w:sz w:val="32"/>
          <w:szCs w:val="32"/>
          <w:lang w:val="en-GB"/>
        </w:rPr>
        <w:t xml:space="preserve"> </w:t>
      </w:r>
    </w:p>
    <w:p w:rsidR="001D2B33" w:rsidRDefault="001D2B33" w:rsidP="00637E5B">
      <w:pPr>
        <w:rPr>
          <w:b/>
          <w:bCs/>
          <w:lang w:val="en-GB"/>
        </w:rPr>
      </w:pPr>
    </w:p>
    <w:p w:rsidR="00637E5B" w:rsidRPr="00A44A6D" w:rsidRDefault="00637E5B" w:rsidP="002E6148">
      <w:pPr>
        <w:spacing w:line="360" w:lineRule="auto"/>
        <w:rPr>
          <w:sz w:val="40"/>
          <w:szCs w:val="40"/>
          <w:lang w:val="en-GB"/>
        </w:rPr>
      </w:pPr>
      <w:r w:rsidRPr="00A44A6D">
        <w:rPr>
          <w:sz w:val="40"/>
          <w:szCs w:val="40"/>
          <w:lang w:val="en-GB"/>
        </w:rPr>
        <w:lastRenderedPageBreak/>
        <w:t>Distinguished President of the Human Rights Council,</w:t>
      </w:r>
    </w:p>
    <w:p w:rsidR="00637E5B" w:rsidRPr="00A44A6D" w:rsidRDefault="00637E5B" w:rsidP="002E6148">
      <w:pPr>
        <w:spacing w:line="360" w:lineRule="auto"/>
        <w:rPr>
          <w:sz w:val="40"/>
          <w:szCs w:val="40"/>
          <w:lang w:val="en-GB"/>
        </w:rPr>
      </w:pPr>
      <w:proofErr w:type="spellStart"/>
      <w:r w:rsidRPr="00A44A6D">
        <w:rPr>
          <w:sz w:val="40"/>
          <w:szCs w:val="40"/>
          <w:lang w:val="en-GB"/>
        </w:rPr>
        <w:t>Excellencies</w:t>
      </w:r>
      <w:proofErr w:type="spellEnd"/>
      <w:r w:rsidRPr="00A44A6D">
        <w:rPr>
          <w:sz w:val="40"/>
          <w:szCs w:val="40"/>
          <w:lang w:val="en-GB"/>
        </w:rPr>
        <w:t>,</w:t>
      </w:r>
    </w:p>
    <w:p w:rsidR="00637E5B" w:rsidRPr="00A44A6D" w:rsidRDefault="00637E5B" w:rsidP="002E6148">
      <w:pPr>
        <w:spacing w:line="360" w:lineRule="auto"/>
        <w:rPr>
          <w:sz w:val="40"/>
          <w:szCs w:val="40"/>
          <w:lang w:val="en-GB"/>
        </w:rPr>
      </w:pPr>
      <w:r w:rsidRPr="00A44A6D">
        <w:rPr>
          <w:sz w:val="40"/>
          <w:szCs w:val="40"/>
          <w:lang w:val="en-GB"/>
        </w:rPr>
        <w:t>Colleagues and friends,</w:t>
      </w:r>
    </w:p>
    <w:p w:rsidR="00F95F4C" w:rsidRPr="00A44A6D" w:rsidRDefault="004F0585" w:rsidP="002E6148">
      <w:pPr>
        <w:spacing w:line="360" w:lineRule="auto"/>
        <w:rPr>
          <w:sz w:val="40"/>
          <w:szCs w:val="40"/>
        </w:rPr>
      </w:pPr>
    </w:p>
    <w:p w:rsidR="00637E5B" w:rsidRPr="00A44A6D" w:rsidRDefault="00637E5B" w:rsidP="002E6148">
      <w:pPr>
        <w:spacing w:line="360" w:lineRule="auto"/>
        <w:ind w:firstLine="720"/>
        <w:rPr>
          <w:sz w:val="40"/>
          <w:szCs w:val="40"/>
        </w:rPr>
      </w:pPr>
      <w:r w:rsidRPr="00A44A6D">
        <w:rPr>
          <w:sz w:val="40"/>
          <w:szCs w:val="40"/>
          <w:lang w:val="en-GB"/>
        </w:rPr>
        <w:t xml:space="preserve">I </w:t>
      </w:r>
      <w:r w:rsidR="006D64FB" w:rsidRPr="00A44A6D">
        <w:rPr>
          <w:sz w:val="40"/>
          <w:szCs w:val="40"/>
          <w:lang w:val="en-GB"/>
        </w:rPr>
        <w:t xml:space="preserve">have the honour to </w:t>
      </w:r>
      <w:r w:rsidR="00F309AA" w:rsidRPr="00A44A6D">
        <w:rPr>
          <w:sz w:val="40"/>
          <w:szCs w:val="40"/>
          <w:lang w:val="en-GB"/>
        </w:rPr>
        <w:t xml:space="preserve">present </w:t>
      </w:r>
      <w:r w:rsidR="00A356ED" w:rsidRPr="00A44A6D">
        <w:rPr>
          <w:sz w:val="40"/>
          <w:szCs w:val="40"/>
          <w:lang w:val="en-GB"/>
        </w:rPr>
        <w:t>three</w:t>
      </w:r>
      <w:r w:rsidR="00741278" w:rsidRPr="00A44A6D">
        <w:rPr>
          <w:sz w:val="40"/>
          <w:szCs w:val="40"/>
          <w:lang w:val="en-GB"/>
        </w:rPr>
        <w:t xml:space="preserve"> </w:t>
      </w:r>
      <w:r w:rsidR="0069384A" w:rsidRPr="00A44A6D">
        <w:rPr>
          <w:sz w:val="40"/>
          <w:szCs w:val="40"/>
          <w:lang w:val="en-GB"/>
        </w:rPr>
        <w:t>reports</w:t>
      </w:r>
      <w:r w:rsidR="00F309AA" w:rsidRPr="00A44A6D">
        <w:rPr>
          <w:sz w:val="40"/>
          <w:szCs w:val="40"/>
          <w:lang w:val="en-GB"/>
        </w:rPr>
        <w:t xml:space="preserve"> under the agenda</w:t>
      </w:r>
      <w:r w:rsidRPr="00A44A6D">
        <w:rPr>
          <w:sz w:val="40"/>
          <w:szCs w:val="40"/>
          <w:lang w:val="en-GB"/>
        </w:rPr>
        <w:t xml:space="preserve"> </w:t>
      </w:r>
      <w:r w:rsidR="00B55304" w:rsidRPr="00A44A6D">
        <w:rPr>
          <w:sz w:val="40"/>
          <w:szCs w:val="40"/>
          <w:lang w:val="en-GB"/>
        </w:rPr>
        <w:t xml:space="preserve">item </w:t>
      </w:r>
      <w:r w:rsidRPr="00A44A6D">
        <w:rPr>
          <w:sz w:val="40"/>
          <w:szCs w:val="40"/>
          <w:lang w:val="en-GB"/>
        </w:rPr>
        <w:t xml:space="preserve">7 concerning the human rights situation in </w:t>
      </w:r>
      <w:r w:rsidR="003858E8" w:rsidRPr="00A44A6D">
        <w:rPr>
          <w:sz w:val="40"/>
          <w:szCs w:val="40"/>
          <w:lang w:val="en-GB"/>
        </w:rPr>
        <w:t xml:space="preserve">Palestine </w:t>
      </w:r>
      <w:r w:rsidRPr="00A44A6D">
        <w:rPr>
          <w:sz w:val="40"/>
          <w:szCs w:val="40"/>
          <w:lang w:val="en-GB"/>
        </w:rPr>
        <w:t>and other occupied Arab territories.</w:t>
      </w:r>
    </w:p>
    <w:p w:rsidR="00637E5B" w:rsidRPr="00A44A6D" w:rsidRDefault="00637E5B" w:rsidP="002E6148">
      <w:pPr>
        <w:spacing w:line="360" w:lineRule="auto"/>
        <w:ind w:firstLine="720"/>
        <w:rPr>
          <w:sz w:val="40"/>
          <w:szCs w:val="40"/>
        </w:rPr>
      </w:pPr>
    </w:p>
    <w:p w:rsidR="003F2A69" w:rsidRPr="00A44A6D" w:rsidRDefault="003858E8" w:rsidP="002E6148">
      <w:pPr>
        <w:spacing w:line="360" w:lineRule="auto"/>
        <w:ind w:firstLine="720"/>
        <w:rPr>
          <w:sz w:val="40"/>
          <w:szCs w:val="40"/>
          <w:lang w:val="en-GB"/>
        </w:rPr>
      </w:pPr>
      <w:r w:rsidRPr="00A44A6D">
        <w:rPr>
          <w:sz w:val="40"/>
          <w:szCs w:val="40"/>
          <w:lang w:val="en-GB"/>
        </w:rPr>
        <w:t xml:space="preserve">I will start with the </w:t>
      </w:r>
      <w:r w:rsidR="00920FFC" w:rsidRPr="00A44A6D">
        <w:rPr>
          <w:b/>
          <w:sz w:val="40"/>
          <w:szCs w:val="40"/>
          <w:lang w:val="en-GB"/>
        </w:rPr>
        <w:t xml:space="preserve">thirteenth </w:t>
      </w:r>
      <w:r w:rsidR="00637E5B" w:rsidRPr="00A44A6D">
        <w:rPr>
          <w:b/>
          <w:sz w:val="40"/>
          <w:szCs w:val="40"/>
          <w:lang w:val="en-GB"/>
        </w:rPr>
        <w:t>periodic report</w:t>
      </w:r>
      <w:r w:rsidR="00637E5B" w:rsidRPr="00A44A6D">
        <w:rPr>
          <w:sz w:val="40"/>
          <w:szCs w:val="40"/>
          <w:lang w:val="en-GB"/>
        </w:rPr>
        <w:t xml:space="preserve"> </w:t>
      </w:r>
      <w:r w:rsidR="00637E5B" w:rsidRPr="00A44A6D">
        <w:rPr>
          <w:b/>
          <w:bCs/>
          <w:sz w:val="40"/>
          <w:szCs w:val="40"/>
          <w:lang w:val="en-GB"/>
        </w:rPr>
        <w:t>on the human rights situation in the Occupied Palestinian T</w:t>
      </w:r>
      <w:r w:rsidR="001953E0" w:rsidRPr="00A44A6D">
        <w:rPr>
          <w:b/>
          <w:bCs/>
          <w:sz w:val="40"/>
          <w:szCs w:val="40"/>
          <w:lang w:val="en-GB"/>
        </w:rPr>
        <w:t>erritory (A/HRC/</w:t>
      </w:r>
      <w:r w:rsidR="00A356ED" w:rsidRPr="00A44A6D">
        <w:rPr>
          <w:b/>
          <w:bCs/>
          <w:sz w:val="40"/>
          <w:szCs w:val="40"/>
          <w:lang w:val="en-GB"/>
        </w:rPr>
        <w:t>46/63</w:t>
      </w:r>
      <w:r w:rsidR="00637E5B" w:rsidRPr="00A44A6D">
        <w:rPr>
          <w:b/>
          <w:bCs/>
          <w:sz w:val="40"/>
          <w:szCs w:val="40"/>
          <w:lang w:val="en-GB"/>
        </w:rPr>
        <w:t>)</w:t>
      </w:r>
      <w:r w:rsidR="00B55304" w:rsidRPr="00A44A6D">
        <w:rPr>
          <w:b/>
          <w:bCs/>
          <w:sz w:val="40"/>
          <w:szCs w:val="40"/>
          <w:lang w:val="en-GB"/>
        </w:rPr>
        <w:t xml:space="preserve"> </w:t>
      </w:r>
      <w:r w:rsidR="001953E0" w:rsidRPr="00A44A6D">
        <w:rPr>
          <w:sz w:val="40"/>
          <w:szCs w:val="40"/>
          <w:lang w:val="en-GB"/>
        </w:rPr>
        <w:t xml:space="preserve">pursuant to </w:t>
      </w:r>
      <w:r w:rsidR="007533CA" w:rsidRPr="00A44A6D">
        <w:rPr>
          <w:sz w:val="40"/>
          <w:szCs w:val="40"/>
          <w:lang w:val="en-GB"/>
        </w:rPr>
        <w:t xml:space="preserve">Human Rights Council </w:t>
      </w:r>
      <w:r w:rsidR="001953E0" w:rsidRPr="00A44A6D">
        <w:rPr>
          <w:sz w:val="40"/>
          <w:szCs w:val="40"/>
          <w:lang w:val="en-GB"/>
        </w:rPr>
        <w:t>resolutions S-9/1 and S-12/1</w:t>
      </w:r>
      <w:r w:rsidR="005C6E37" w:rsidRPr="00A44A6D">
        <w:rPr>
          <w:sz w:val="40"/>
          <w:szCs w:val="40"/>
          <w:lang w:val="en-GB"/>
        </w:rPr>
        <w:t>. C</w:t>
      </w:r>
      <w:r w:rsidR="001953E0" w:rsidRPr="00A44A6D">
        <w:rPr>
          <w:sz w:val="40"/>
          <w:szCs w:val="40"/>
          <w:lang w:val="en-GB"/>
        </w:rPr>
        <w:t xml:space="preserve">overing the period from </w:t>
      </w:r>
      <w:r w:rsidR="006A2BE0" w:rsidRPr="00A44A6D">
        <w:rPr>
          <w:sz w:val="40"/>
          <w:szCs w:val="40"/>
          <w:lang w:val="en-GB"/>
        </w:rPr>
        <w:t>1 November 2019</w:t>
      </w:r>
      <w:r w:rsidR="001953E0" w:rsidRPr="00A44A6D">
        <w:rPr>
          <w:sz w:val="40"/>
          <w:szCs w:val="40"/>
          <w:lang w:val="en-GB"/>
        </w:rPr>
        <w:t xml:space="preserve"> to </w:t>
      </w:r>
      <w:r w:rsidR="006A2BE0" w:rsidRPr="00A44A6D">
        <w:rPr>
          <w:sz w:val="40"/>
          <w:szCs w:val="40"/>
          <w:lang w:val="en-GB"/>
        </w:rPr>
        <w:t>31 October 2020</w:t>
      </w:r>
      <w:r w:rsidR="005C6E37" w:rsidRPr="00A44A6D">
        <w:rPr>
          <w:sz w:val="40"/>
          <w:szCs w:val="40"/>
          <w:lang w:val="en-GB"/>
        </w:rPr>
        <w:t>, t</w:t>
      </w:r>
      <w:r w:rsidR="001953E0" w:rsidRPr="00A44A6D">
        <w:rPr>
          <w:sz w:val="40"/>
          <w:szCs w:val="40"/>
          <w:lang w:val="en-GB"/>
        </w:rPr>
        <w:t xml:space="preserve">his report provides an overview of recurring violations of international humanitarian law </w:t>
      </w:r>
      <w:r w:rsidR="003F2A69" w:rsidRPr="00A44A6D">
        <w:rPr>
          <w:sz w:val="40"/>
          <w:szCs w:val="40"/>
          <w:lang w:val="en-GB"/>
        </w:rPr>
        <w:t>by Israel</w:t>
      </w:r>
      <w:r w:rsidR="005C6E37" w:rsidRPr="00A44A6D">
        <w:rPr>
          <w:sz w:val="40"/>
          <w:szCs w:val="40"/>
          <w:lang w:val="en-GB"/>
        </w:rPr>
        <w:t xml:space="preserve"> </w:t>
      </w:r>
      <w:r w:rsidR="00172B4D" w:rsidRPr="00A44A6D">
        <w:rPr>
          <w:sz w:val="40"/>
          <w:szCs w:val="40"/>
          <w:lang w:val="en-GB"/>
        </w:rPr>
        <w:t>and</w:t>
      </w:r>
      <w:r w:rsidR="005C6E37" w:rsidRPr="00A44A6D">
        <w:rPr>
          <w:sz w:val="40"/>
          <w:szCs w:val="40"/>
          <w:lang w:val="en-GB"/>
        </w:rPr>
        <w:t xml:space="preserve"> </w:t>
      </w:r>
      <w:r w:rsidR="003F2A69" w:rsidRPr="00A44A6D">
        <w:rPr>
          <w:sz w:val="40"/>
          <w:szCs w:val="40"/>
          <w:lang w:val="en-GB"/>
        </w:rPr>
        <w:t>by Palestinian armed groups</w:t>
      </w:r>
      <w:r w:rsidR="00380C28" w:rsidRPr="00A44A6D">
        <w:rPr>
          <w:sz w:val="40"/>
          <w:szCs w:val="40"/>
          <w:lang w:val="en-GB"/>
        </w:rPr>
        <w:t xml:space="preserve"> as well as</w:t>
      </w:r>
      <w:r w:rsidR="003F2A69" w:rsidRPr="00A44A6D">
        <w:rPr>
          <w:sz w:val="40"/>
          <w:szCs w:val="40"/>
          <w:lang w:val="en-GB"/>
        </w:rPr>
        <w:t xml:space="preserve"> violations of international human rights law by all three duty</w:t>
      </w:r>
      <w:r w:rsidR="005C6E37" w:rsidRPr="00A44A6D">
        <w:rPr>
          <w:sz w:val="40"/>
          <w:szCs w:val="40"/>
          <w:lang w:val="en-GB"/>
        </w:rPr>
        <w:t>-</w:t>
      </w:r>
      <w:r w:rsidR="003F2A69" w:rsidRPr="00A44A6D">
        <w:rPr>
          <w:sz w:val="40"/>
          <w:szCs w:val="40"/>
          <w:lang w:val="en-GB"/>
        </w:rPr>
        <w:t xml:space="preserve">bearers, namely </w:t>
      </w:r>
      <w:r w:rsidR="001953E0" w:rsidRPr="00A44A6D">
        <w:rPr>
          <w:sz w:val="40"/>
          <w:szCs w:val="40"/>
          <w:lang w:val="en-GB"/>
        </w:rPr>
        <w:t xml:space="preserve">Israel, </w:t>
      </w:r>
      <w:r w:rsidR="003F2A69" w:rsidRPr="00A44A6D">
        <w:rPr>
          <w:sz w:val="40"/>
          <w:szCs w:val="40"/>
          <w:lang w:val="en-GB"/>
        </w:rPr>
        <w:t xml:space="preserve">the </w:t>
      </w:r>
      <w:r w:rsidR="001953E0" w:rsidRPr="00A44A6D">
        <w:rPr>
          <w:sz w:val="40"/>
          <w:szCs w:val="40"/>
          <w:lang w:val="en-GB"/>
        </w:rPr>
        <w:t xml:space="preserve">State of Palestine and the </w:t>
      </w:r>
      <w:r w:rsidR="00741278" w:rsidRPr="00A44A6D">
        <w:rPr>
          <w:sz w:val="40"/>
          <w:szCs w:val="40"/>
          <w:lang w:val="en-GB"/>
        </w:rPr>
        <w:t xml:space="preserve">de facto </w:t>
      </w:r>
      <w:r w:rsidR="001953E0" w:rsidRPr="00A44A6D">
        <w:rPr>
          <w:sz w:val="40"/>
          <w:szCs w:val="40"/>
          <w:lang w:val="en-GB"/>
        </w:rPr>
        <w:t>authorities in Gaza.</w:t>
      </w:r>
      <w:r w:rsidR="002B2449" w:rsidRPr="00A44A6D">
        <w:rPr>
          <w:sz w:val="40"/>
          <w:szCs w:val="40"/>
          <w:lang w:val="en-GB"/>
        </w:rPr>
        <w:t xml:space="preserve"> </w:t>
      </w:r>
    </w:p>
    <w:p w:rsidR="00143652" w:rsidRPr="00A44A6D" w:rsidRDefault="00143652" w:rsidP="002E6148">
      <w:pPr>
        <w:spacing w:after="160" w:line="259" w:lineRule="auto"/>
        <w:rPr>
          <w:sz w:val="40"/>
          <w:szCs w:val="40"/>
          <w:lang w:val="en-GB"/>
        </w:rPr>
      </w:pPr>
      <w:r w:rsidRPr="00A44A6D">
        <w:rPr>
          <w:sz w:val="40"/>
          <w:szCs w:val="40"/>
          <w:lang w:val="en-GB"/>
        </w:rPr>
        <w:br w:type="page"/>
      </w:r>
    </w:p>
    <w:p w:rsidR="00A45951" w:rsidRPr="00A44A6D" w:rsidRDefault="00380C28" w:rsidP="002E6148">
      <w:pPr>
        <w:spacing w:line="360" w:lineRule="auto"/>
        <w:ind w:firstLine="720"/>
        <w:rPr>
          <w:sz w:val="40"/>
          <w:szCs w:val="40"/>
        </w:rPr>
      </w:pPr>
      <w:r w:rsidRPr="00A44A6D">
        <w:rPr>
          <w:sz w:val="40"/>
          <w:szCs w:val="40"/>
        </w:rPr>
        <w:lastRenderedPageBreak/>
        <w:t>T</w:t>
      </w:r>
      <w:r w:rsidR="006A2BE0" w:rsidRPr="00A44A6D">
        <w:rPr>
          <w:sz w:val="40"/>
          <w:szCs w:val="40"/>
        </w:rPr>
        <w:t>he</w:t>
      </w:r>
      <w:r w:rsidR="007533CA" w:rsidRPr="00A44A6D">
        <w:rPr>
          <w:sz w:val="40"/>
          <w:szCs w:val="40"/>
        </w:rPr>
        <w:t xml:space="preserve"> reporting period was marked by</w:t>
      </w:r>
      <w:r w:rsidR="00CB0A54" w:rsidRPr="00A44A6D">
        <w:rPr>
          <w:sz w:val="40"/>
          <w:szCs w:val="40"/>
        </w:rPr>
        <w:t xml:space="preserve"> </w:t>
      </w:r>
      <w:r w:rsidR="00B15BE5" w:rsidRPr="00A44A6D">
        <w:rPr>
          <w:sz w:val="40"/>
          <w:szCs w:val="40"/>
        </w:rPr>
        <w:t>persisting</w:t>
      </w:r>
      <w:r w:rsidR="00CB0A54" w:rsidRPr="00A44A6D">
        <w:rPr>
          <w:sz w:val="40"/>
          <w:szCs w:val="40"/>
        </w:rPr>
        <w:t xml:space="preserve"> human rights violations</w:t>
      </w:r>
      <w:r w:rsidRPr="00A44A6D">
        <w:rPr>
          <w:sz w:val="40"/>
          <w:szCs w:val="40"/>
        </w:rPr>
        <w:t xml:space="preserve"> throughout the Occupied Palestinian Territory, </w:t>
      </w:r>
      <w:r w:rsidR="00CB0A54" w:rsidRPr="00A44A6D">
        <w:rPr>
          <w:sz w:val="40"/>
          <w:szCs w:val="40"/>
        </w:rPr>
        <w:t>including</w:t>
      </w:r>
      <w:r w:rsidR="007533CA" w:rsidRPr="00A44A6D">
        <w:rPr>
          <w:sz w:val="40"/>
          <w:szCs w:val="40"/>
        </w:rPr>
        <w:t xml:space="preserve"> </w:t>
      </w:r>
      <w:r w:rsidR="00CB0A54" w:rsidRPr="00A44A6D">
        <w:rPr>
          <w:sz w:val="40"/>
          <w:szCs w:val="40"/>
        </w:rPr>
        <w:t xml:space="preserve">violations of the right to life and physical integrity impacting men, women, </w:t>
      </w:r>
      <w:r w:rsidR="0072412E" w:rsidRPr="00A44A6D">
        <w:rPr>
          <w:sz w:val="40"/>
          <w:szCs w:val="40"/>
        </w:rPr>
        <w:t xml:space="preserve">children and </w:t>
      </w:r>
      <w:r w:rsidR="00CB0A54" w:rsidRPr="00A44A6D">
        <w:rPr>
          <w:sz w:val="40"/>
          <w:szCs w:val="40"/>
        </w:rPr>
        <w:t>people with disabilities;</w:t>
      </w:r>
      <w:r w:rsidR="00530761" w:rsidRPr="00A44A6D">
        <w:rPr>
          <w:sz w:val="40"/>
          <w:szCs w:val="40"/>
        </w:rPr>
        <w:t xml:space="preserve"> </w:t>
      </w:r>
      <w:r w:rsidR="00CB0A54" w:rsidRPr="00A44A6D">
        <w:rPr>
          <w:sz w:val="40"/>
          <w:szCs w:val="40"/>
        </w:rPr>
        <w:t>restrictions of freedom of movement and restrictions of the rights to</w:t>
      </w:r>
      <w:r w:rsidR="00172B4D" w:rsidRPr="00A44A6D">
        <w:rPr>
          <w:sz w:val="40"/>
          <w:szCs w:val="40"/>
        </w:rPr>
        <w:t xml:space="preserve"> a fair trial,</w:t>
      </w:r>
      <w:r w:rsidR="00CB0A54" w:rsidRPr="00A44A6D">
        <w:rPr>
          <w:sz w:val="40"/>
          <w:szCs w:val="40"/>
        </w:rPr>
        <w:t xml:space="preserve"> freedom of expression, association and peaceful assembly.</w:t>
      </w:r>
      <w:r w:rsidR="007533CA" w:rsidRPr="00A44A6D">
        <w:rPr>
          <w:sz w:val="40"/>
          <w:szCs w:val="40"/>
        </w:rPr>
        <w:t xml:space="preserve"> </w:t>
      </w:r>
    </w:p>
    <w:p w:rsidR="0072412E" w:rsidRPr="00A44A6D" w:rsidRDefault="0072412E" w:rsidP="002E6148">
      <w:pPr>
        <w:spacing w:line="360" w:lineRule="auto"/>
        <w:ind w:firstLine="720"/>
        <w:rPr>
          <w:sz w:val="40"/>
          <w:szCs w:val="40"/>
          <w:highlight w:val="yellow"/>
        </w:rPr>
      </w:pPr>
    </w:p>
    <w:p w:rsidR="008354AE" w:rsidRPr="00A44A6D" w:rsidRDefault="008354AE" w:rsidP="002E6148">
      <w:pPr>
        <w:spacing w:line="360" w:lineRule="auto"/>
        <w:ind w:firstLine="720"/>
        <w:rPr>
          <w:rFonts w:eastAsia="Calibri"/>
          <w:sz w:val="40"/>
          <w:szCs w:val="40"/>
        </w:rPr>
      </w:pPr>
      <w:r w:rsidRPr="00A44A6D">
        <w:rPr>
          <w:sz w:val="40"/>
          <w:szCs w:val="40"/>
        </w:rPr>
        <w:t xml:space="preserve">The report </w:t>
      </w:r>
      <w:r w:rsidR="00172B4D" w:rsidRPr="00A44A6D">
        <w:rPr>
          <w:sz w:val="40"/>
          <w:szCs w:val="40"/>
        </w:rPr>
        <w:t xml:space="preserve">focuses on </w:t>
      </w:r>
      <w:r w:rsidRPr="00A44A6D">
        <w:rPr>
          <w:sz w:val="40"/>
          <w:szCs w:val="40"/>
        </w:rPr>
        <w:t xml:space="preserve">the situation of Palestinian women </w:t>
      </w:r>
      <w:r w:rsidR="00172B4D" w:rsidRPr="00A44A6D">
        <w:rPr>
          <w:sz w:val="40"/>
          <w:szCs w:val="40"/>
        </w:rPr>
        <w:t>and girls</w:t>
      </w:r>
      <w:r w:rsidR="00B15BE5" w:rsidRPr="00A44A6D">
        <w:rPr>
          <w:sz w:val="40"/>
          <w:szCs w:val="40"/>
        </w:rPr>
        <w:t>,</w:t>
      </w:r>
      <w:r w:rsidR="00172B4D" w:rsidRPr="00A44A6D">
        <w:rPr>
          <w:sz w:val="40"/>
          <w:szCs w:val="40"/>
        </w:rPr>
        <w:t xml:space="preserve"> </w:t>
      </w:r>
      <w:r w:rsidRPr="00A44A6D">
        <w:rPr>
          <w:sz w:val="40"/>
          <w:szCs w:val="40"/>
        </w:rPr>
        <w:t xml:space="preserve">who are subjected to multiple layers of violence and discrimination, in the public and private spheres. These stem from a combination of factors including the Israeli military occupation, prevailing patriarchal norms and practices and gender-based violence. The report recalls incidents of Palestinian women </w:t>
      </w:r>
      <w:r w:rsidR="00172B4D" w:rsidRPr="00A44A6D">
        <w:rPr>
          <w:sz w:val="40"/>
          <w:szCs w:val="40"/>
        </w:rPr>
        <w:t xml:space="preserve">and girls </w:t>
      </w:r>
      <w:r w:rsidRPr="00A44A6D">
        <w:rPr>
          <w:sz w:val="40"/>
          <w:szCs w:val="40"/>
        </w:rPr>
        <w:t xml:space="preserve">suffering from direct physical violence by Israeli security forces, as well as </w:t>
      </w:r>
      <w:r w:rsidR="006E702F" w:rsidRPr="00A44A6D">
        <w:rPr>
          <w:sz w:val="40"/>
          <w:szCs w:val="40"/>
        </w:rPr>
        <w:t xml:space="preserve">from </w:t>
      </w:r>
      <w:r w:rsidR="00172B4D" w:rsidRPr="00A44A6D">
        <w:rPr>
          <w:sz w:val="40"/>
          <w:szCs w:val="40"/>
        </w:rPr>
        <w:t xml:space="preserve">Israeli practices </w:t>
      </w:r>
      <w:r w:rsidR="00380C28" w:rsidRPr="00A44A6D">
        <w:rPr>
          <w:sz w:val="40"/>
          <w:szCs w:val="40"/>
        </w:rPr>
        <w:t>such as</w:t>
      </w:r>
      <w:r w:rsidR="00172B4D" w:rsidRPr="00A44A6D">
        <w:rPr>
          <w:sz w:val="40"/>
          <w:szCs w:val="40"/>
        </w:rPr>
        <w:t xml:space="preserve"> house demolitions, home raids</w:t>
      </w:r>
      <w:r w:rsidR="00380C28" w:rsidRPr="00A44A6D">
        <w:rPr>
          <w:sz w:val="40"/>
          <w:szCs w:val="40"/>
        </w:rPr>
        <w:t xml:space="preserve"> and</w:t>
      </w:r>
      <w:r w:rsidR="00172B4D" w:rsidRPr="00A44A6D">
        <w:rPr>
          <w:sz w:val="40"/>
          <w:szCs w:val="40"/>
        </w:rPr>
        <w:t xml:space="preserve"> movement restrictions</w:t>
      </w:r>
      <w:r w:rsidR="00380C28" w:rsidRPr="00A44A6D">
        <w:rPr>
          <w:sz w:val="40"/>
          <w:szCs w:val="40"/>
        </w:rPr>
        <w:t>,</w:t>
      </w:r>
      <w:r w:rsidR="00172B4D" w:rsidRPr="00A44A6D">
        <w:rPr>
          <w:sz w:val="40"/>
          <w:szCs w:val="40"/>
        </w:rPr>
        <w:t xml:space="preserve"> resulting in </w:t>
      </w:r>
      <w:r w:rsidRPr="00A44A6D">
        <w:rPr>
          <w:rFonts w:eastAsia="Calibri"/>
          <w:sz w:val="40"/>
          <w:szCs w:val="40"/>
        </w:rPr>
        <w:t xml:space="preserve">extreme </w:t>
      </w:r>
      <w:r w:rsidRPr="00A44A6D">
        <w:rPr>
          <w:rFonts w:eastAsia="Calibri"/>
          <w:sz w:val="40"/>
          <w:szCs w:val="40"/>
        </w:rPr>
        <w:lastRenderedPageBreak/>
        <w:t xml:space="preserve">psychological </w:t>
      </w:r>
      <w:r w:rsidR="00172B4D" w:rsidRPr="00A44A6D">
        <w:rPr>
          <w:rFonts w:eastAsia="Calibri"/>
          <w:sz w:val="40"/>
          <w:szCs w:val="40"/>
        </w:rPr>
        <w:t>suffering and violations of women’s human rights</w:t>
      </w:r>
      <w:r w:rsidRPr="00A44A6D">
        <w:rPr>
          <w:rFonts w:eastAsia="Calibri"/>
          <w:sz w:val="40"/>
          <w:szCs w:val="40"/>
        </w:rPr>
        <w:t xml:space="preserve">. </w:t>
      </w:r>
    </w:p>
    <w:p w:rsidR="00143652" w:rsidRPr="00A44A6D" w:rsidRDefault="00143652" w:rsidP="002E6148">
      <w:pPr>
        <w:spacing w:after="160" w:line="259" w:lineRule="auto"/>
        <w:rPr>
          <w:rFonts w:eastAsia="Calibri"/>
          <w:sz w:val="40"/>
          <w:szCs w:val="40"/>
        </w:rPr>
      </w:pPr>
    </w:p>
    <w:p w:rsidR="008354AE" w:rsidRPr="00A44A6D" w:rsidRDefault="008354AE" w:rsidP="002E6148">
      <w:pPr>
        <w:spacing w:line="360" w:lineRule="auto"/>
        <w:ind w:firstLine="720"/>
        <w:rPr>
          <w:rFonts w:eastAsia="Calibri"/>
          <w:sz w:val="40"/>
          <w:szCs w:val="40"/>
        </w:rPr>
      </w:pPr>
      <w:r w:rsidRPr="00A44A6D">
        <w:rPr>
          <w:rFonts w:eastAsia="Calibri"/>
          <w:sz w:val="40"/>
          <w:szCs w:val="40"/>
        </w:rPr>
        <w:t xml:space="preserve">The report noted that the prolonged occupation compounds women’s vulnerability to gender-based violence and can pose critical obstacles to the prevention and punishment of violence against women and girls, especially in areas where </w:t>
      </w:r>
      <w:r w:rsidR="00785F4C" w:rsidRPr="00A44A6D">
        <w:rPr>
          <w:rFonts w:eastAsia="Calibri"/>
          <w:sz w:val="40"/>
          <w:szCs w:val="40"/>
        </w:rPr>
        <w:t xml:space="preserve">the occupying power </w:t>
      </w:r>
      <w:r w:rsidR="00656BDD" w:rsidRPr="00A44A6D">
        <w:rPr>
          <w:rFonts w:eastAsia="Calibri"/>
          <w:sz w:val="40"/>
          <w:szCs w:val="40"/>
        </w:rPr>
        <w:t xml:space="preserve">exercises </w:t>
      </w:r>
      <w:r w:rsidRPr="00A44A6D">
        <w:rPr>
          <w:rFonts w:eastAsia="Calibri"/>
          <w:sz w:val="40"/>
          <w:szCs w:val="40"/>
        </w:rPr>
        <w:t>exclusive jurisdiction over security. Additionally, movement restrictions and the halting of in-person Government and NGO services</w:t>
      </w:r>
      <w:r w:rsidR="00DA6E32" w:rsidRPr="00A44A6D">
        <w:rPr>
          <w:rFonts w:eastAsia="Calibri"/>
          <w:sz w:val="40"/>
          <w:szCs w:val="40"/>
        </w:rPr>
        <w:t xml:space="preserve"> due to the outbreak of COVID-19 </w:t>
      </w:r>
      <w:r w:rsidRPr="00A44A6D">
        <w:rPr>
          <w:rFonts w:eastAsia="Calibri"/>
          <w:sz w:val="40"/>
          <w:szCs w:val="40"/>
        </w:rPr>
        <w:t>increased the vulnerability of women and girls to violence</w:t>
      </w:r>
      <w:r w:rsidR="00DA6E32" w:rsidRPr="00A44A6D">
        <w:rPr>
          <w:rFonts w:eastAsia="Calibri"/>
          <w:sz w:val="40"/>
          <w:szCs w:val="40"/>
        </w:rPr>
        <w:t xml:space="preserve">. It resulted </w:t>
      </w:r>
      <w:r w:rsidRPr="00A44A6D">
        <w:rPr>
          <w:rFonts w:eastAsia="Calibri"/>
          <w:sz w:val="40"/>
          <w:szCs w:val="40"/>
        </w:rPr>
        <w:t>in a recorded spike of domestic violence</w:t>
      </w:r>
      <w:r w:rsidR="005B3022" w:rsidRPr="00A44A6D">
        <w:rPr>
          <w:rFonts w:eastAsia="Calibri"/>
          <w:sz w:val="40"/>
          <w:szCs w:val="40"/>
        </w:rPr>
        <w:t xml:space="preserve"> including gender related-killings (</w:t>
      </w:r>
      <w:proofErr w:type="spellStart"/>
      <w:r w:rsidR="005B3022" w:rsidRPr="00A44A6D">
        <w:rPr>
          <w:rFonts w:eastAsia="Calibri"/>
          <w:sz w:val="40"/>
          <w:szCs w:val="40"/>
        </w:rPr>
        <w:t>femicides</w:t>
      </w:r>
      <w:proofErr w:type="spellEnd"/>
      <w:r w:rsidR="005B3022" w:rsidRPr="00A44A6D">
        <w:rPr>
          <w:rFonts w:eastAsia="Calibri"/>
          <w:sz w:val="40"/>
          <w:szCs w:val="40"/>
        </w:rPr>
        <w:t>)</w:t>
      </w:r>
      <w:r w:rsidR="00785F4C" w:rsidRPr="00A44A6D">
        <w:rPr>
          <w:rFonts w:eastAsia="Calibri"/>
          <w:sz w:val="40"/>
          <w:szCs w:val="40"/>
        </w:rPr>
        <w:t>, which were often met with inadequate response</w:t>
      </w:r>
      <w:r w:rsidRPr="00A44A6D">
        <w:rPr>
          <w:rFonts w:eastAsia="Calibri"/>
          <w:sz w:val="40"/>
          <w:szCs w:val="40"/>
        </w:rPr>
        <w:t>.</w:t>
      </w:r>
      <w:r w:rsidR="007C05B7" w:rsidRPr="00A44A6D">
        <w:rPr>
          <w:rFonts w:eastAsia="Calibri"/>
          <w:sz w:val="40"/>
          <w:szCs w:val="40"/>
        </w:rPr>
        <w:t xml:space="preserve"> </w:t>
      </w:r>
    </w:p>
    <w:p w:rsidR="008354AE" w:rsidRPr="00A44A6D" w:rsidRDefault="008354AE" w:rsidP="002E6148">
      <w:pPr>
        <w:spacing w:line="360" w:lineRule="auto"/>
        <w:ind w:firstLine="720"/>
        <w:rPr>
          <w:sz w:val="40"/>
          <w:szCs w:val="40"/>
        </w:rPr>
      </w:pPr>
    </w:p>
    <w:p w:rsidR="003E7E07" w:rsidRPr="00A44A6D" w:rsidRDefault="003E7E07" w:rsidP="002E6148">
      <w:pPr>
        <w:spacing w:line="360" w:lineRule="auto"/>
        <w:ind w:firstLine="720"/>
        <w:rPr>
          <w:sz w:val="40"/>
          <w:szCs w:val="40"/>
        </w:rPr>
      </w:pPr>
      <w:r w:rsidRPr="00A44A6D">
        <w:rPr>
          <w:sz w:val="40"/>
          <w:szCs w:val="40"/>
        </w:rPr>
        <w:t xml:space="preserve">The report highlights </w:t>
      </w:r>
      <w:r w:rsidR="00DA6E32" w:rsidRPr="00A44A6D">
        <w:rPr>
          <w:rFonts w:eastAsia="Calibri"/>
          <w:sz w:val="40"/>
          <w:szCs w:val="40"/>
        </w:rPr>
        <w:t>persisting</w:t>
      </w:r>
      <w:r w:rsidRPr="00A44A6D">
        <w:rPr>
          <w:sz w:val="40"/>
          <w:szCs w:val="40"/>
        </w:rPr>
        <w:t xml:space="preserve"> s</w:t>
      </w:r>
      <w:r w:rsidRPr="00A44A6D">
        <w:rPr>
          <w:rFonts w:eastAsia="Calibri"/>
          <w:sz w:val="40"/>
          <w:szCs w:val="40"/>
        </w:rPr>
        <w:t>erious concerns of unnecessary or disproportionate use of force against Palestinians.</w:t>
      </w:r>
      <w:r w:rsidR="00CB6F3C" w:rsidRPr="00A44A6D">
        <w:rPr>
          <w:rFonts w:eastAsia="Calibri"/>
          <w:sz w:val="40"/>
          <w:szCs w:val="40"/>
        </w:rPr>
        <w:t xml:space="preserve"> In the vast majority of cases </w:t>
      </w:r>
      <w:r w:rsidR="00172B4D" w:rsidRPr="00A44A6D">
        <w:rPr>
          <w:rFonts w:eastAsia="Calibri"/>
          <w:sz w:val="40"/>
          <w:szCs w:val="40"/>
        </w:rPr>
        <w:t xml:space="preserve">monitored </w:t>
      </w:r>
      <w:r w:rsidR="00172B4D" w:rsidRPr="00A44A6D">
        <w:rPr>
          <w:rFonts w:eastAsia="Calibri"/>
          <w:sz w:val="40"/>
          <w:szCs w:val="40"/>
        </w:rPr>
        <w:lastRenderedPageBreak/>
        <w:t xml:space="preserve">and </w:t>
      </w:r>
      <w:r w:rsidR="00CB6F3C" w:rsidRPr="00A44A6D">
        <w:rPr>
          <w:rFonts w:eastAsia="Calibri"/>
          <w:sz w:val="40"/>
          <w:szCs w:val="40"/>
        </w:rPr>
        <w:t>documented</w:t>
      </w:r>
      <w:r w:rsidR="00172B4D" w:rsidRPr="00A44A6D">
        <w:rPr>
          <w:rFonts w:eastAsia="Calibri"/>
          <w:sz w:val="40"/>
          <w:szCs w:val="40"/>
        </w:rPr>
        <w:t xml:space="preserve"> by my Office</w:t>
      </w:r>
      <w:r w:rsidR="00CB6F3C" w:rsidRPr="00A44A6D">
        <w:rPr>
          <w:rFonts w:eastAsia="Calibri"/>
          <w:sz w:val="40"/>
          <w:szCs w:val="40"/>
        </w:rPr>
        <w:t>, Palestinians were killed or injured while appearing to pose no imminent threat of death or serious injury. In the West Bank</w:t>
      </w:r>
      <w:r w:rsidR="009C1760" w:rsidRPr="00A44A6D">
        <w:rPr>
          <w:rFonts w:eastAsia="Calibri"/>
          <w:sz w:val="40"/>
          <w:szCs w:val="40"/>
        </w:rPr>
        <w:t>,</w:t>
      </w:r>
      <w:r w:rsidR="00CB6F3C" w:rsidRPr="00A44A6D">
        <w:rPr>
          <w:rFonts w:eastAsia="Calibri"/>
          <w:sz w:val="40"/>
          <w:szCs w:val="40"/>
        </w:rPr>
        <w:t xml:space="preserve"> including East Jerusalem, Israeli Security Forces killed 23 Palestinian m</w:t>
      </w:r>
      <w:r w:rsidR="009C1760" w:rsidRPr="00A44A6D">
        <w:rPr>
          <w:rFonts w:eastAsia="Calibri"/>
          <w:sz w:val="40"/>
          <w:szCs w:val="40"/>
        </w:rPr>
        <w:t>en</w:t>
      </w:r>
      <w:r w:rsidR="006E702F" w:rsidRPr="00A44A6D">
        <w:rPr>
          <w:rFonts w:eastAsia="Calibri"/>
          <w:sz w:val="40"/>
          <w:szCs w:val="40"/>
        </w:rPr>
        <w:t>,</w:t>
      </w:r>
      <w:r w:rsidR="00CB6F3C" w:rsidRPr="00A44A6D">
        <w:rPr>
          <w:rFonts w:eastAsia="Calibri"/>
          <w:sz w:val="40"/>
          <w:szCs w:val="40"/>
        </w:rPr>
        <w:t xml:space="preserve"> including five children and one man with autism. The report notes that in several incidents, Israeli Security Forces may have resorted to disproportionate </w:t>
      </w:r>
      <w:r w:rsidR="00172B4D" w:rsidRPr="00A44A6D">
        <w:rPr>
          <w:rFonts w:eastAsia="Calibri"/>
          <w:sz w:val="40"/>
          <w:szCs w:val="40"/>
        </w:rPr>
        <w:t xml:space="preserve">or entirely unnecessary </w:t>
      </w:r>
      <w:r w:rsidR="00CB6F3C" w:rsidRPr="00A44A6D">
        <w:rPr>
          <w:rFonts w:eastAsia="Calibri"/>
          <w:sz w:val="40"/>
          <w:szCs w:val="40"/>
        </w:rPr>
        <w:t>use of force resulting in arbitrary deprivation of life, including extra-judicial execution.</w:t>
      </w:r>
      <w:r w:rsidR="00172B4D" w:rsidRPr="00A44A6D">
        <w:rPr>
          <w:rFonts w:eastAsia="Calibri"/>
          <w:sz w:val="40"/>
          <w:szCs w:val="40"/>
        </w:rPr>
        <w:t xml:space="preserve"> </w:t>
      </w:r>
      <w:r w:rsidR="009C1760" w:rsidRPr="00A44A6D">
        <w:rPr>
          <w:rFonts w:eastAsia="Calibri"/>
          <w:sz w:val="40"/>
          <w:szCs w:val="40"/>
        </w:rPr>
        <w:t>M</w:t>
      </w:r>
      <w:r w:rsidR="00172B4D" w:rsidRPr="00A44A6D">
        <w:rPr>
          <w:rFonts w:eastAsia="Calibri"/>
          <w:sz w:val="40"/>
          <w:szCs w:val="40"/>
        </w:rPr>
        <w:t xml:space="preserve">y report introduced </w:t>
      </w:r>
      <w:r w:rsidR="009C1760" w:rsidRPr="00A44A6D">
        <w:rPr>
          <w:rFonts w:eastAsia="Calibri"/>
          <w:sz w:val="40"/>
          <w:szCs w:val="40"/>
        </w:rPr>
        <w:t xml:space="preserve">last month </w:t>
      </w:r>
      <w:r w:rsidR="00172B4D" w:rsidRPr="00A44A6D">
        <w:rPr>
          <w:rFonts w:eastAsia="Calibri"/>
          <w:sz w:val="40"/>
          <w:szCs w:val="40"/>
        </w:rPr>
        <w:t xml:space="preserve">under item 2 of the Council </w:t>
      </w:r>
      <w:r w:rsidR="009C1760" w:rsidRPr="00A44A6D">
        <w:rPr>
          <w:rFonts w:eastAsia="Calibri"/>
          <w:sz w:val="40"/>
          <w:szCs w:val="40"/>
        </w:rPr>
        <w:t>highlights</w:t>
      </w:r>
      <w:r w:rsidR="00172B4D" w:rsidRPr="00A44A6D">
        <w:rPr>
          <w:rFonts w:eastAsia="Calibri"/>
          <w:sz w:val="40"/>
          <w:szCs w:val="40"/>
        </w:rPr>
        <w:t xml:space="preserve"> the alarming lack of accountability for these violations. </w:t>
      </w:r>
    </w:p>
    <w:p w:rsidR="003E7E07" w:rsidRPr="00A44A6D" w:rsidRDefault="003E7E07" w:rsidP="002E6148">
      <w:pPr>
        <w:spacing w:line="360" w:lineRule="auto"/>
        <w:ind w:firstLine="720"/>
        <w:rPr>
          <w:sz w:val="40"/>
          <w:szCs w:val="40"/>
          <w:highlight w:val="yellow"/>
        </w:rPr>
      </w:pPr>
    </w:p>
    <w:p w:rsidR="00F315DD" w:rsidRPr="00A44A6D" w:rsidRDefault="00F315DD" w:rsidP="002E6148">
      <w:pPr>
        <w:spacing w:line="360" w:lineRule="auto"/>
        <w:ind w:firstLine="720"/>
        <w:rPr>
          <w:sz w:val="40"/>
          <w:szCs w:val="40"/>
        </w:rPr>
      </w:pPr>
      <w:r w:rsidRPr="00A44A6D">
        <w:rPr>
          <w:sz w:val="40"/>
          <w:szCs w:val="40"/>
        </w:rPr>
        <w:t xml:space="preserve">The report notes that Israel continued to systematically use force and other means to suppress demonstrations by Palestinians and continued to hold human rights defenders under administrative or extended pre-trial detention. In East Jerusalem, Palestinian cultural and non-governmental organizations, several of them headed by women, </w:t>
      </w:r>
      <w:r w:rsidRPr="00A44A6D">
        <w:rPr>
          <w:sz w:val="40"/>
          <w:szCs w:val="40"/>
        </w:rPr>
        <w:lastRenderedPageBreak/>
        <w:t>continued to be targeted with raids, arrests, confiscation of equipment, and closure orders. The report also recalls the cases of university students</w:t>
      </w:r>
      <w:r w:rsidR="006E702F" w:rsidRPr="00A44A6D">
        <w:rPr>
          <w:sz w:val="40"/>
          <w:szCs w:val="40"/>
        </w:rPr>
        <w:t>,</w:t>
      </w:r>
      <w:r w:rsidRPr="00A44A6D">
        <w:rPr>
          <w:sz w:val="40"/>
          <w:szCs w:val="40"/>
        </w:rPr>
        <w:t xml:space="preserve"> including </w:t>
      </w:r>
      <w:r w:rsidR="006E702F" w:rsidRPr="00A44A6D">
        <w:rPr>
          <w:sz w:val="40"/>
          <w:szCs w:val="40"/>
        </w:rPr>
        <w:t>women</w:t>
      </w:r>
      <w:r w:rsidRPr="00A44A6D">
        <w:rPr>
          <w:sz w:val="40"/>
          <w:szCs w:val="40"/>
        </w:rPr>
        <w:t>, who appear to have been arbitrarily detained and ill-treated by Israeli security forces in relation to student activities.</w:t>
      </w:r>
    </w:p>
    <w:p w:rsidR="00F315DD" w:rsidRPr="00A44A6D" w:rsidRDefault="00F315DD" w:rsidP="002E6148">
      <w:pPr>
        <w:spacing w:line="360" w:lineRule="auto"/>
        <w:ind w:firstLine="720"/>
        <w:rPr>
          <w:rFonts w:eastAsia="Calibri"/>
          <w:sz w:val="40"/>
          <w:szCs w:val="40"/>
        </w:rPr>
      </w:pPr>
    </w:p>
    <w:p w:rsidR="00BD5623" w:rsidRPr="00A44A6D" w:rsidRDefault="00172B4D" w:rsidP="002E6148">
      <w:pPr>
        <w:spacing w:line="360" w:lineRule="auto"/>
        <w:ind w:firstLine="720"/>
        <w:rPr>
          <w:rFonts w:eastAsia="Calibri"/>
          <w:sz w:val="40"/>
          <w:szCs w:val="40"/>
        </w:rPr>
      </w:pPr>
      <w:r w:rsidRPr="00A44A6D">
        <w:rPr>
          <w:rFonts w:eastAsia="Calibri"/>
          <w:sz w:val="40"/>
          <w:szCs w:val="40"/>
        </w:rPr>
        <w:t>T</w:t>
      </w:r>
      <w:r w:rsidR="00CB0A54" w:rsidRPr="00A44A6D">
        <w:rPr>
          <w:rFonts w:eastAsia="Calibri"/>
          <w:sz w:val="40"/>
          <w:szCs w:val="40"/>
        </w:rPr>
        <w:t>he land, sea and air blockade of Gaza, which amounts to collective punishment,</w:t>
      </w:r>
      <w:r w:rsidR="008354AE" w:rsidRPr="00A44A6D">
        <w:rPr>
          <w:rFonts w:eastAsia="Calibri"/>
          <w:sz w:val="40"/>
          <w:szCs w:val="40"/>
        </w:rPr>
        <w:t xml:space="preserve"> has</w:t>
      </w:r>
      <w:r w:rsidR="00CB0A54" w:rsidRPr="00A44A6D">
        <w:rPr>
          <w:rFonts w:eastAsia="Calibri"/>
          <w:sz w:val="40"/>
          <w:szCs w:val="40"/>
        </w:rPr>
        <w:t xml:space="preserve"> entered its fourteenth year. </w:t>
      </w:r>
      <w:r w:rsidR="0072412E" w:rsidRPr="00A44A6D">
        <w:rPr>
          <w:rFonts w:eastAsia="Calibri"/>
          <w:sz w:val="40"/>
          <w:szCs w:val="40"/>
        </w:rPr>
        <w:t>The report notes the frequent fuel and electricity shortages that have a devastating impact on the living conditions</w:t>
      </w:r>
      <w:r w:rsidR="006E702F" w:rsidRPr="00A44A6D">
        <w:rPr>
          <w:rFonts w:eastAsia="Calibri"/>
          <w:sz w:val="40"/>
          <w:szCs w:val="40"/>
        </w:rPr>
        <w:t xml:space="preserve">, particularly </w:t>
      </w:r>
      <w:r w:rsidR="0072412E" w:rsidRPr="00A44A6D">
        <w:rPr>
          <w:rFonts w:eastAsia="Calibri"/>
          <w:sz w:val="40"/>
          <w:szCs w:val="40"/>
        </w:rPr>
        <w:t>of women and girls</w:t>
      </w:r>
      <w:r w:rsidR="006E702F" w:rsidRPr="00A44A6D">
        <w:rPr>
          <w:rFonts w:eastAsia="Calibri"/>
          <w:sz w:val="40"/>
          <w:szCs w:val="40"/>
        </w:rPr>
        <w:t>.</w:t>
      </w:r>
      <w:r w:rsidR="0072412E" w:rsidRPr="00A44A6D">
        <w:rPr>
          <w:rFonts w:eastAsia="Calibri"/>
          <w:sz w:val="40"/>
          <w:szCs w:val="40"/>
        </w:rPr>
        <w:t xml:space="preserve"> </w:t>
      </w:r>
      <w:r w:rsidR="008354AE" w:rsidRPr="00A44A6D">
        <w:rPr>
          <w:rFonts w:eastAsia="Calibri"/>
          <w:sz w:val="40"/>
          <w:szCs w:val="40"/>
        </w:rPr>
        <w:t>Additionally, t</w:t>
      </w:r>
      <w:r w:rsidR="0072412E" w:rsidRPr="00A44A6D">
        <w:rPr>
          <w:rFonts w:eastAsia="Calibri"/>
          <w:sz w:val="40"/>
          <w:szCs w:val="40"/>
        </w:rPr>
        <w:t>he outbreak of COVID-19 compounded the already-restricted freedom of movement in and out of Gaza</w:t>
      </w:r>
      <w:r w:rsidR="001C6B90" w:rsidRPr="00A44A6D">
        <w:rPr>
          <w:rFonts w:eastAsia="Calibri"/>
          <w:sz w:val="40"/>
          <w:szCs w:val="40"/>
        </w:rPr>
        <w:t>,</w:t>
      </w:r>
      <w:r w:rsidR="0072412E" w:rsidRPr="00A44A6D">
        <w:rPr>
          <w:rFonts w:eastAsia="Calibri"/>
          <w:sz w:val="40"/>
          <w:szCs w:val="40"/>
        </w:rPr>
        <w:t xml:space="preserve"> with the average number of Palestinians exiting through</w:t>
      </w:r>
      <w:r w:rsidR="001C6B90" w:rsidRPr="00A44A6D">
        <w:rPr>
          <w:rFonts w:eastAsia="Calibri"/>
          <w:sz w:val="40"/>
          <w:szCs w:val="40"/>
        </w:rPr>
        <w:t xml:space="preserve"> the</w:t>
      </w:r>
      <w:r w:rsidR="0072412E" w:rsidRPr="00A44A6D">
        <w:rPr>
          <w:rFonts w:eastAsia="Calibri"/>
          <w:sz w:val="40"/>
          <w:szCs w:val="40"/>
        </w:rPr>
        <w:t xml:space="preserve"> </w:t>
      </w:r>
      <w:proofErr w:type="spellStart"/>
      <w:r w:rsidR="0072412E" w:rsidRPr="00A44A6D">
        <w:rPr>
          <w:rFonts w:eastAsia="Calibri"/>
          <w:sz w:val="40"/>
          <w:szCs w:val="40"/>
        </w:rPr>
        <w:t>Erez</w:t>
      </w:r>
      <w:proofErr w:type="spellEnd"/>
      <w:r w:rsidR="0072412E" w:rsidRPr="00A44A6D">
        <w:rPr>
          <w:rFonts w:eastAsia="Calibri"/>
          <w:sz w:val="40"/>
          <w:szCs w:val="40"/>
        </w:rPr>
        <w:t xml:space="preserve"> crossing dropping dramatically. </w:t>
      </w:r>
      <w:r w:rsidR="00764DC3" w:rsidRPr="00A44A6D">
        <w:rPr>
          <w:rFonts w:eastAsia="Calibri"/>
          <w:sz w:val="40"/>
          <w:szCs w:val="40"/>
        </w:rPr>
        <w:t xml:space="preserve">The pandemic has also </w:t>
      </w:r>
      <w:r w:rsidR="00764DC3" w:rsidRPr="00A44A6D">
        <w:rPr>
          <w:sz w:val="40"/>
          <w:szCs w:val="40"/>
        </w:rPr>
        <w:t xml:space="preserve">put a greater pressure on the already-strained health system. </w:t>
      </w:r>
    </w:p>
    <w:p w:rsidR="007533CA" w:rsidRPr="00A44A6D" w:rsidRDefault="007533CA" w:rsidP="002E6148">
      <w:pPr>
        <w:spacing w:line="360" w:lineRule="auto"/>
        <w:ind w:firstLine="720"/>
        <w:rPr>
          <w:sz w:val="40"/>
          <w:szCs w:val="40"/>
        </w:rPr>
      </w:pPr>
    </w:p>
    <w:p w:rsidR="00A44A6D" w:rsidRDefault="00A44A6D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926CC9" w:rsidRPr="00A44A6D" w:rsidRDefault="00926CC9" w:rsidP="002E6148">
      <w:pPr>
        <w:spacing w:line="360" w:lineRule="auto"/>
        <w:ind w:firstLine="720"/>
        <w:rPr>
          <w:rFonts w:eastAsia="Calibri"/>
          <w:sz w:val="40"/>
          <w:szCs w:val="40"/>
        </w:rPr>
      </w:pPr>
      <w:r w:rsidRPr="00A44A6D">
        <w:rPr>
          <w:sz w:val="40"/>
          <w:szCs w:val="40"/>
        </w:rPr>
        <w:lastRenderedPageBreak/>
        <w:t xml:space="preserve">The report also </w:t>
      </w:r>
      <w:r w:rsidR="005C6E37" w:rsidRPr="00A44A6D">
        <w:rPr>
          <w:sz w:val="40"/>
          <w:szCs w:val="40"/>
        </w:rPr>
        <w:t>highlights</w:t>
      </w:r>
      <w:r w:rsidR="00E6709F" w:rsidRPr="00A44A6D">
        <w:rPr>
          <w:sz w:val="40"/>
          <w:szCs w:val="40"/>
        </w:rPr>
        <w:t xml:space="preserve"> </w:t>
      </w:r>
      <w:r w:rsidR="00B26DC5" w:rsidRPr="00A44A6D">
        <w:rPr>
          <w:sz w:val="40"/>
          <w:szCs w:val="40"/>
        </w:rPr>
        <w:t xml:space="preserve">human rights </w:t>
      </w:r>
      <w:r w:rsidR="00B6733D" w:rsidRPr="00A44A6D">
        <w:rPr>
          <w:sz w:val="40"/>
          <w:szCs w:val="40"/>
        </w:rPr>
        <w:t xml:space="preserve">violations committed by </w:t>
      </w:r>
      <w:r w:rsidR="00A23968" w:rsidRPr="00A44A6D">
        <w:rPr>
          <w:sz w:val="40"/>
          <w:szCs w:val="40"/>
        </w:rPr>
        <w:t xml:space="preserve">the Palestinian </w:t>
      </w:r>
      <w:r w:rsidR="00741278" w:rsidRPr="00A44A6D">
        <w:rPr>
          <w:sz w:val="40"/>
          <w:szCs w:val="40"/>
        </w:rPr>
        <w:t>A</w:t>
      </w:r>
      <w:r w:rsidR="00A23968" w:rsidRPr="00A44A6D">
        <w:rPr>
          <w:sz w:val="40"/>
          <w:szCs w:val="40"/>
        </w:rPr>
        <w:t>uthority and the de facto authori</w:t>
      </w:r>
      <w:r w:rsidR="00307A5C" w:rsidRPr="00A44A6D">
        <w:rPr>
          <w:sz w:val="40"/>
          <w:szCs w:val="40"/>
        </w:rPr>
        <w:t>ties in Gaza</w:t>
      </w:r>
      <w:r w:rsidR="003E7E07" w:rsidRPr="00A44A6D">
        <w:rPr>
          <w:sz w:val="40"/>
          <w:szCs w:val="40"/>
        </w:rPr>
        <w:t>.</w:t>
      </w:r>
      <w:r w:rsidR="006A62DB" w:rsidRPr="00A44A6D">
        <w:rPr>
          <w:sz w:val="40"/>
          <w:szCs w:val="40"/>
        </w:rPr>
        <w:t xml:space="preserve"> </w:t>
      </w:r>
      <w:r w:rsidR="00F315DD" w:rsidRPr="00A44A6D">
        <w:rPr>
          <w:sz w:val="40"/>
          <w:szCs w:val="40"/>
        </w:rPr>
        <w:t xml:space="preserve">Invoking COVID-19 </w:t>
      </w:r>
      <w:r w:rsidR="00F315DD" w:rsidRPr="00A44A6D">
        <w:rPr>
          <w:rFonts w:eastAsia="Calibri"/>
          <w:sz w:val="40"/>
          <w:szCs w:val="40"/>
        </w:rPr>
        <w:t xml:space="preserve">emergency measures, </w:t>
      </w:r>
      <w:r w:rsidR="003B23B2" w:rsidRPr="00A44A6D">
        <w:rPr>
          <w:rFonts w:eastAsia="Calibri"/>
          <w:sz w:val="40"/>
          <w:szCs w:val="40"/>
        </w:rPr>
        <w:t>Palestinian Authority security</w:t>
      </w:r>
      <w:r w:rsidR="00F315DD" w:rsidRPr="00A44A6D">
        <w:rPr>
          <w:rFonts w:eastAsia="Calibri"/>
          <w:sz w:val="40"/>
          <w:szCs w:val="40"/>
        </w:rPr>
        <w:t xml:space="preserve"> forces</w:t>
      </w:r>
      <w:r w:rsidR="003B23B2" w:rsidRPr="00A44A6D">
        <w:rPr>
          <w:rFonts w:eastAsia="Calibri"/>
          <w:sz w:val="40"/>
          <w:szCs w:val="40"/>
        </w:rPr>
        <w:t xml:space="preserve"> violently disperse</w:t>
      </w:r>
      <w:r w:rsidR="00F315DD" w:rsidRPr="00A44A6D">
        <w:rPr>
          <w:rFonts w:eastAsia="Calibri"/>
          <w:sz w:val="40"/>
          <w:szCs w:val="40"/>
        </w:rPr>
        <w:t>d</w:t>
      </w:r>
      <w:r w:rsidR="003B23B2" w:rsidRPr="00A44A6D">
        <w:rPr>
          <w:rFonts w:eastAsia="Calibri"/>
          <w:sz w:val="40"/>
          <w:szCs w:val="40"/>
        </w:rPr>
        <w:t xml:space="preserve"> and detain</w:t>
      </w:r>
      <w:r w:rsidR="00F315DD" w:rsidRPr="00A44A6D">
        <w:rPr>
          <w:rFonts w:eastAsia="Calibri"/>
          <w:sz w:val="40"/>
          <w:szCs w:val="40"/>
        </w:rPr>
        <w:t>ed</w:t>
      </w:r>
      <w:r w:rsidR="003B23B2" w:rsidRPr="00A44A6D">
        <w:rPr>
          <w:rFonts w:eastAsia="Calibri"/>
          <w:sz w:val="40"/>
          <w:szCs w:val="40"/>
        </w:rPr>
        <w:t xml:space="preserve"> protestors in July 2020. </w:t>
      </w:r>
      <w:r w:rsidR="007A398B" w:rsidRPr="00A44A6D">
        <w:rPr>
          <w:rFonts w:eastAsia="Calibri"/>
          <w:sz w:val="40"/>
          <w:szCs w:val="40"/>
        </w:rPr>
        <w:t xml:space="preserve">In multiple occasions, </w:t>
      </w:r>
      <w:r w:rsidR="006A62DB" w:rsidRPr="00A44A6D">
        <w:rPr>
          <w:rFonts w:eastAsia="Calibri"/>
          <w:sz w:val="40"/>
          <w:szCs w:val="40"/>
        </w:rPr>
        <w:t>security forces in the West Bank a</w:t>
      </w:r>
      <w:r w:rsidR="00B3127B" w:rsidRPr="00A44A6D">
        <w:rPr>
          <w:rFonts w:eastAsia="Calibri"/>
          <w:sz w:val="40"/>
          <w:szCs w:val="40"/>
        </w:rPr>
        <w:t xml:space="preserve">nd in </w:t>
      </w:r>
      <w:r w:rsidR="006A62DB" w:rsidRPr="00A44A6D">
        <w:rPr>
          <w:rFonts w:eastAsia="Calibri"/>
          <w:sz w:val="40"/>
          <w:szCs w:val="40"/>
        </w:rPr>
        <w:t>Gaza</w:t>
      </w:r>
      <w:r w:rsidR="000B281D" w:rsidRPr="00A44A6D">
        <w:rPr>
          <w:rFonts w:eastAsia="Calibri"/>
          <w:sz w:val="40"/>
          <w:szCs w:val="40"/>
        </w:rPr>
        <w:t xml:space="preserve"> </w:t>
      </w:r>
      <w:r w:rsidR="006A62DB" w:rsidRPr="00A44A6D">
        <w:rPr>
          <w:rFonts w:eastAsia="Calibri"/>
          <w:sz w:val="40"/>
          <w:szCs w:val="40"/>
        </w:rPr>
        <w:t>summoned and detained journalists and social media activists, including women, for posting statements and videos criticizing the authorities</w:t>
      </w:r>
      <w:r w:rsidR="003B23B2" w:rsidRPr="00A44A6D">
        <w:rPr>
          <w:rFonts w:eastAsia="Calibri"/>
          <w:sz w:val="40"/>
          <w:szCs w:val="40"/>
        </w:rPr>
        <w:t>.</w:t>
      </w:r>
      <w:r w:rsidRPr="00A44A6D">
        <w:rPr>
          <w:sz w:val="40"/>
          <w:szCs w:val="40"/>
        </w:rPr>
        <w:t xml:space="preserve"> </w:t>
      </w:r>
      <w:r w:rsidR="007A398B" w:rsidRPr="00A44A6D">
        <w:rPr>
          <w:sz w:val="40"/>
          <w:szCs w:val="40"/>
        </w:rPr>
        <w:t xml:space="preserve">In addition, </w:t>
      </w:r>
      <w:r w:rsidR="007A398B" w:rsidRPr="00A44A6D">
        <w:rPr>
          <w:rFonts w:eastAsia="Calibri"/>
          <w:sz w:val="40"/>
          <w:szCs w:val="40"/>
        </w:rPr>
        <w:t>e</w:t>
      </w:r>
      <w:r w:rsidR="007156A0" w:rsidRPr="00A44A6D">
        <w:rPr>
          <w:rFonts w:eastAsia="Calibri"/>
          <w:sz w:val="40"/>
          <w:szCs w:val="40"/>
        </w:rPr>
        <w:t xml:space="preserve">xtremely concerning cases </w:t>
      </w:r>
      <w:r w:rsidR="00CF1A05" w:rsidRPr="00A44A6D">
        <w:rPr>
          <w:rFonts w:eastAsia="Calibri"/>
          <w:sz w:val="40"/>
          <w:szCs w:val="40"/>
        </w:rPr>
        <w:t xml:space="preserve">of ill-treatment </w:t>
      </w:r>
      <w:r w:rsidR="001C6B90" w:rsidRPr="00A44A6D">
        <w:rPr>
          <w:rFonts w:eastAsia="Calibri"/>
          <w:sz w:val="40"/>
          <w:szCs w:val="40"/>
        </w:rPr>
        <w:t xml:space="preserve">of detainees </w:t>
      </w:r>
      <w:r w:rsidR="007156A0" w:rsidRPr="00A44A6D">
        <w:rPr>
          <w:rFonts w:eastAsia="Calibri"/>
          <w:sz w:val="40"/>
          <w:szCs w:val="40"/>
        </w:rPr>
        <w:t>by Palestinian security forces in the West Bank and</w:t>
      </w:r>
      <w:r w:rsidR="00334BDA" w:rsidRPr="00A44A6D">
        <w:rPr>
          <w:rFonts w:eastAsia="Calibri"/>
          <w:sz w:val="40"/>
          <w:szCs w:val="40"/>
        </w:rPr>
        <w:t xml:space="preserve"> Gaza de facto authorities’</w:t>
      </w:r>
      <w:r w:rsidR="007156A0" w:rsidRPr="00A44A6D">
        <w:rPr>
          <w:rFonts w:eastAsia="Calibri"/>
          <w:sz w:val="40"/>
          <w:szCs w:val="40"/>
        </w:rPr>
        <w:t xml:space="preserve"> security force</w:t>
      </w:r>
      <w:r w:rsidR="00334BDA" w:rsidRPr="00A44A6D">
        <w:rPr>
          <w:rFonts w:eastAsia="Calibri"/>
          <w:sz w:val="40"/>
          <w:szCs w:val="40"/>
        </w:rPr>
        <w:t>s were documented</w:t>
      </w:r>
      <w:r w:rsidR="007156A0" w:rsidRPr="00A44A6D">
        <w:rPr>
          <w:rFonts w:eastAsia="Calibri"/>
          <w:sz w:val="40"/>
          <w:szCs w:val="40"/>
        </w:rPr>
        <w:t>.</w:t>
      </w:r>
      <w:r w:rsidR="00EB1110" w:rsidRPr="00A44A6D">
        <w:rPr>
          <w:rFonts w:eastAsia="Calibri"/>
          <w:sz w:val="40"/>
          <w:szCs w:val="40"/>
        </w:rPr>
        <w:t xml:space="preserve"> </w:t>
      </w:r>
      <w:r w:rsidR="00BE7236" w:rsidRPr="00A44A6D">
        <w:rPr>
          <w:rFonts w:eastAsia="Calibri"/>
          <w:sz w:val="40"/>
          <w:szCs w:val="40"/>
        </w:rPr>
        <w:t xml:space="preserve">The report also recalls </w:t>
      </w:r>
      <w:r w:rsidR="00805E2F" w:rsidRPr="00A44A6D">
        <w:rPr>
          <w:rFonts w:eastAsia="Calibri"/>
          <w:sz w:val="40"/>
          <w:szCs w:val="40"/>
        </w:rPr>
        <w:t xml:space="preserve">cases </w:t>
      </w:r>
      <w:r w:rsidR="00BE7236" w:rsidRPr="00A44A6D">
        <w:rPr>
          <w:rFonts w:eastAsia="Calibri"/>
          <w:sz w:val="40"/>
          <w:szCs w:val="40"/>
        </w:rPr>
        <w:t>of</w:t>
      </w:r>
      <w:r w:rsidR="00805E2F" w:rsidRPr="00A44A6D">
        <w:rPr>
          <w:rFonts w:eastAsia="Calibri"/>
          <w:sz w:val="40"/>
          <w:szCs w:val="40"/>
        </w:rPr>
        <w:t xml:space="preserve"> </w:t>
      </w:r>
      <w:r w:rsidR="007A398B" w:rsidRPr="00A44A6D">
        <w:rPr>
          <w:rFonts w:eastAsia="Calibri"/>
          <w:sz w:val="40"/>
          <w:szCs w:val="40"/>
        </w:rPr>
        <w:t xml:space="preserve">people </w:t>
      </w:r>
      <w:r w:rsidR="00805E2F" w:rsidRPr="00A44A6D">
        <w:rPr>
          <w:rFonts w:eastAsia="Calibri"/>
          <w:sz w:val="40"/>
          <w:szCs w:val="40"/>
        </w:rPr>
        <w:t>detained in the West Bank and Gaza</w:t>
      </w:r>
      <w:r w:rsidR="00BE7236" w:rsidRPr="00A44A6D">
        <w:rPr>
          <w:rFonts w:eastAsia="Calibri"/>
          <w:sz w:val="40"/>
          <w:szCs w:val="40"/>
        </w:rPr>
        <w:t xml:space="preserve"> for sexual offences such as adultery, incest, prostitution and other sexual or "moral misconduct", raising serious concerns of arbitrary detention. </w:t>
      </w:r>
    </w:p>
    <w:p w:rsidR="008354AE" w:rsidRPr="00A44A6D" w:rsidRDefault="008354AE" w:rsidP="002E6148">
      <w:pPr>
        <w:spacing w:line="360" w:lineRule="auto"/>
        <w:ind w:firstLine="720"/>
        <w:rPr>
          <w:rFonts w:eastAsia="Calibri"/>
          <w:sz w:val="40"/>
          <w:szCs w:val="40"/>
        </w:rPr>
      </w:pPr>
    </w:p>
    <w:p w:rsidR="00A44A6D" w:rsidRDefault="00A44A6D">
      <w:pPr>
        <w:spacing w:after="160" w:line="259" w:lineRule="auto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br w:type="page"/>
      </w:r>
    </w:p>
    <w:p w:rsidR="008354AE" w:rsidRPr="00A44A6D" w:rsidRDefault="008354AE" w:rsidP="002E6148">
      <w:pPr>
        <w:spacing w:line="360" w:lineRule="auto"/>
        <w:ind w:firstLine="720"/>
        <w:rPr>
          <w:sz w:val="40"/>
          <w:szCs w:val="40"/>
        </w:rPr>
      </w:pPr>
      <w:r w:rsidRPr="00A44A6D">
        <w:rPr>
          <w:rFonts w:eastAsia="Calibri"/>
          <w:sz w:val="40"/>
          <w:szCs w:val="40"/>
        </w:rPr>
        <w:lastRenderedPageBreak/>
        <w:t xml:space="preserve">Finally, </w:t>
      </w:r>
      <w:r w:rsidRPr="00A44A6D">
        <w:rPr>
          <w:sz w:val="40"/>
          <w:szCs w:val="40"/>
        </w:rPr>
        <w:t xml:space="preserve">the report </w:t>
      </w:r>
      <w:r w:rsidR="0090146D" w:rsidRPr="00A44A6D">
        <w:rPr>
          <w:sz w:val="40"/>
          <w:szCs w:val="40"/>
        </w:rPr>
        <w:t xml:space="preserve">also </w:t>
      </w:r>
      <w:r w:rsidRPr="00A44A6D">
        <w:rPr>
          <w:sz w:val="40"/>
          <w:szCs w:val="40"/>
        </w:rPr>
        <w:t xml:space="preserve">notes </w:t>
      </w:r>
      <w:r w:rsidR="0090146D" w:rsidRPr="00A44A6D">
        <w:rPr>
          <w:sz w:val="40"/>
          <w:szCs w:val="40"/>
        </w:rPr>
        <w:t xml:space="preserve">that </w:t>
      </w:r>
      <w:r w:rsidRPr="00A44A6D">
        <w:rPr>
          <w:sz w:val="40"/>
          <w:szCs w:val="40"/>
        </w:rPr>
        <w:t>the Government of Israel announced a freeze in relations with my Office</w:t>
      </w:r>
      <w:r w:rsidR="0090146D" w:rsidRPr="00A44A6D">
        <w:rPr>
          <w:sz w:val="40"/>
          <w:szCs w:val="40"/>
        </w:rPr>
        <w:t xml:space="preserve">, which has continued over the last year. The Government has failed to make determinations within a reasonable time on requests for visas or visa extensions for </w:t>
      </w:r>
      <w:r w:rsidRPr="00A44A6D">
        <w:rPr>
          <w:sz w:val="40"/>
          <w:szCs w:val="40"/>
        </w:rPr>
        <w:t>international staff of my Office in the Occupied Palestinian Territory</w:t>
      </w:r>
      <w:r w:rsidR="0090146D" w:rsidRPr="00A44A6D">
        <w:rPr>
          <w:sz w:val="40"/>
          <w:szCs w:val="40"/>
        </w:rPr>
        <w:t>, who have</w:t>
      </w:r>
      <w:r w:rsidRPr="00A44A6D">
        <w:rPr>
          <w:sz w:val="40"/>
          <w:szCs w:val="40"/>
        </w:rPr>
        <w:t xml:space="preserve"> </w:t>
      </w:r>
      <w:r w:rsidR="00D81A4E" w:rsidRPr="00A44A6D">
        <w:rPr>
          <w:sz w:val="40"/>
          <w:szCs w:val="40"/>
        </w:rPr>
        <w:t xml:space="preserve">been </w:t>
      </w:r>
      <w:r w:rsidRPr="00A44A6D">
        <w:rPr>
          <w:sz w:val="40"/>
          <w:szCs w:val="40"/>
        </w:rPr>
        <w:t>obliged to leave the</w:t>
      </w:r>
      <w:r w:rsidR="0090146D" w:rsidRPr="00A44A6D">
        <w:rPr>
          <w:sz w:val="40"/>
          <w:szCs w:val="40"/>
        </w:rPr>
        <w:t>ir</w:t>
      </w:r>
      <w:r w:rsidRPr="00A44A6D">
        <w:rPr>
          <w:sz w:val="40"/>
          <w:szCs w:val="40"/>
        </w:rPr>
        <w:t xml:space="preserve"> </w:t>
      </w:r>
      <w:r w:rsidR="0090146D" w:rsidRPr="00A44A6D">
        <w:rPr>
          <w:sz w:val="40"/>
          <w:szCs w:val="40"/>
        </w:rPr>
        <w:t xml:space="preserve">duty station there as a result. </w:t>
      </w:r>
      <w:r w:rsidR="006F3B46" w:rsidRPr="00A44A6D">
        <w:rPr>
          <w:sz w:val="40"/>
          <w:szCs w:val="40"/>
        </w:rPr>
        <w:t xml:space="preserve">I renew my call for </w:t>
      </w:r>
      <w:r w:rsidR="0090146D" w:rsidRPr="00A44A6D">
        <w:rPr>
          <w:sz w:val="40"/>
          <w:szCs w:val="40"/>
        </w:rPr>
        <w:t xml:space="preserve">the Government to duly decide on such requests, in order to avoid further obstruction of the important work which the General Assembly and this Council have mandated be performed. </w:t>
      </w:r>
    </w:p>
    <w:p w:rsidR="008B19DA" w:rsidRPr="00A44A6D" w:rsidRDefault="008B19DA" w:rsidP="002E6148">
      <w:pPr>
        <w:spacing w:line="360" w:lineRule="auto"/>
        <w:ind w:firstLine="720"/>
        <w:rPr>
          <w:sz w:val="40"/>
          <w:szCs w:val="40"/>
        </w:rPr>
      </w:pPr>
    </w:p>
    <w:p w:rsidR="005C6E37" w:rsidRPr="00A44A6D" w:rsidRDefault="008B19DA" w:rsidP="002E6148">
      <w:pPr>
        <w:spacing w:line="360" w:lineRule="auto"/>
        <w:ind w:firstLine="720"/>
        <w:rPr>
          <w:sz w:val="40"/>
          <w:szCs w:val="40"/>
          <w:lang w:val="en-GB"/>
        </w:rPr>
      </w:pPr>
      <w:r w:rsidRPr="00A44A6D">
        <w:rPr>
          <w:bCs/>
          <w:sz w:val="40"/>
          <w:szCs w:val="40"/>
        </w:rPr>
        <w:t>The second report</w:t>
      </w:r>
      <w:r w:rsidRPr="00A44A6D">
        <w:rPr>
          <w:b/>
          <w:bCs/>
          <w:sz w:val="40"/>
          <w:szCs w:val="40"/>
        </w:rPr>
        <w:t xml:space="preserve"> </w:t>
      </w:r>
      <w:r w:rsidR="00DE24B4" w:rsidRPr="00A44A6D">
        <w:rPr>
          <w:sz w:val="40"/>
          <w:szCs w:val="40"/>
        </w:rPr>
        <w:t xml:space="preserve">is on </w:t>
      </w:r>
      <w:r w:rsidR="00DE24B4" w:rsidRPr="00A44A6D">
        <w:rPr>
          <w:b/>
          <w:sz w:val="40"/>
          <w:szCs w:val="40"/>
        </w:rPr>
        <w:t>Israeli settlements in the Occupied Palestinian Territory, including East Jerusalem, and in the occupied Syrian Golan</w:t>
      </w:r>
      <w:r w:rsidR="00DE24B4" w:rsidRPr="00A44A6D" w:rsidDel="00DE24B4">
        <w:rPr>
          <w:b/>
          <w:sz w:val="40"/>
          <w:szCs w:val="40"/>
        </w:rPr>
        <w:t xml:space="preserve"> </w:t>
      </w:r>
      <w:r w:rsidRPr="00A44A6D">
        <w:rPr>
          <w:b/>
          <w:sz w:val="40"/>
          <w:szCs w:val="40"/>
        </w:rPr>
        <w:t>(</w:t>
      </w:r>
      <w:r w:rsidRPr="00A44A6D">
        <w:rPr>
          <w:b/>
          <w:bCs/>
          <w:sz w:val="40"/>
          <w:szCs w:val="40"/>
          <w:lang w:val="en-GB"/>
        </w:rPr>
        <w:t>A/HRC/</w:t>
      </w:r>
      <w:r w:rsidR="00A356ED" w:rsidRPr="00A44A6D">
        <w:rPr>
          <w:b/>
          <w:sz w:val="40"/>
          <w:szCs w:val="40"/>
          <w:lang w:val="en-GB"/>
        </w:rPr>
        <w:t>46/65</w:t>
      </w:r>
      <w:r w:rsidRPr="00A44A6D">
        <w:rPr>
          <w:sz w:val="40"/>
          <w:szCs w:val="40"/>
          <w:lang w:val="en-GB"/>
        </w:rPr>
        <w:t>)</w:t>
      </w:r>
      <w:r w:rsidR="00B55304" w:rsidRPr="00A44A6D">
        <w:rPr>
          <w:sz w:val="40"/>
          <w:szCs w:val="40"/>
          <w:lang w:val="en-GB"/>
        </w:rPr>
        <w:t>,</w:t>
      </w:r>
      <w:r w:rsidR="00641A59" w:rsidRPr="00A44A6D">
        <w:rPr>
          <w:sz w:val="40"/>
          <w:szCs w:val="40"/>
          <w:lang w:val="en-GB"/>
        </w:rPr>
        <w:t xml:space="preserve"> </w:t>
      </w:r>
      <w:r w:rsidR="00B6733D" w:rsidRPr="00A44A6D">
        <w:rPr>
          <w:sz w:val="40"/>
          <w:szCs w:val="40"/>
          <w:lang w:val="en-GB"/>
        </w:rPr>
        <w:t xml:space="preserve">submitted pursuant to Human Rights Council resolution </w:t>
      </w:r>
      <w:r w:rsidR="00A356ED" w:rsidRPr="00A44A6D">
        <w:rPr>
          <w:sz w:val="40"/>
          <w:szCs w:val="40"/>
          <w:lang w:val="en-GB"/>
        </w:rPr>
        <w:t>43/31</w:t>
      </w:r>
      <w:r w:rsidR="00B6733D" w:rsidRPr="00A44A6D">
        <w:rPr>
          <w:sz w:val="40"/>
          <w:szCs w:val="40"/>
          <w:lang w:val="en-GB"/>
        </w:rPr>
        <w:t xml:space="preserve">. It </w:t>
      </w:r>
      <w:r w:rsidRPr="00A44A6D">
        <w:rPr>
          <w:sz w:val="40"/>
          <w:szCs w:val="40"/>
          <w:lang w:val="en-GB"/>
        </w:rPr>
        <w:t>describes the</w:t>
      </w:r>
      <w:r w:rsidR="00435749" w:rsidRPr="00A44A6D">
        <w:rPr>
          <w:sz w:val="40"/>
          <w:szCs w:val="40"/>
          <w:lang w:val="en-GB"/>
        </w:rPr>
        <w:t xml:space="preserve"> continued expansion of Israeli settlement activities, their negative</w:t>
      </w:r>
      <w:r w:rsidRPr="00A44A6D">
        <w:rPr>
          <w:sz w:val="40"/>
          <w:szCs w:val="40"/>
          <w:lang w:val="en-GB"/>
        </w:rPr>
        <w:t xml:space="preserve"> impact </w:t>
      </w:r>
      <w:r w:rsidR="00B6733D" w:rsidRPr="00A44A6D">
        <w:rPr>
          <w:sz w:val="40"/>
          <w:szCs w:val="40"/>
          <w:lang w:val="en-GB"/>
        </w:rPr>
        <w:t>on</w:t>
      </w:r>
      <w:r w:rsidR="00435749" w:rsidRPr="00A44A6D">
        <w:rPr>
          <w:sz w:val="40"/>
          <w:szCs w:val="40"/>
          <w:lang w:val="en-GB"/>
        </w:rPr>
        <w:t xml:space="preserve"> the</w:t>
      </w:r>
      <w:r w:rsidR="00B6733D" w:rsidRPr="00A44A6D">
        <w:rPr>
          <w:sz w:val="40"/>
          <w:szCs w:val="40"/>
          <w:lang w:val="en-GB"/>
        </w:rPr>
        <w:t xml:space="preserve"> human rights </w:t>
      </w:r>
      <w:r w:rsidRPr="00A44A6D">
        <w:rPr>
          <w:sz w:val="40"/>
          <w:szCs w:val="40"/>
          <w:lang w:val="en-GB"/>
        </w:rPr>
        <w:t>of</w:t>
      </w:r>
      <w:r w:rsidR="00435749" w:rsidRPr="00A44A6D">
        <w:rPr>
          <w:sz w:val="40"/>
          <w:szCs w:val="40"/>
          <w:lang w:val="en-GB"/>
        </w:rPr>
        <w:t xml:space="preserve"> the Palestinian people, as </w:t>
      </w:r>
      <w:r w:rsidR="00435749" w:rsidRPr="00A44A6D">
        <w:rPr>
          <w:sz w:val="40"/>
          <w:szCs w:val="40"/>
          <w:lang w:val="en-GB"/>
        </w:rPr>
        <w:lastRenderedPageBreak/>
        <w:t xml:space="preserve">well as the contiguity of the Palestinian Territory, particularly in and around East Jerusalem. </w:t>
      </w:r>
      <w:r w:rsidRPr="00A44A6D">
        <w:rPr>
          <w:sz w:val="40"/>
          <w:szCs w:val="40"/>
          <w:lang w:val="en-GB"/>
        </w:rPr>
        <w:t xml:space="preserve"> </w:t>
      </w:r>
      <w:r w:rsidR="00800FDE" w:rsidRPr="00A44A6D">
        <w:rPr>
          <w:sz w:val="40"/>
          <w:szCs w:val="40"/>
          <w:lang w:val="en-GB"/>
        </w:rPr>
        <w:t xml:space="preserve">It also addresses issues relating to Israeli settlements in the occupied Syrian Golan. </w:t>
      </w:r>
    </w:p>
    <w:p w:rsidR="005C6E37" w:rsidRPr="00A44A6D" w:rsidRDefault="005C6E37" w:rsidP="002E6148">
      <w:pPr>
        <w:spacing w:line="360" w:lineRule="auto"/>
        <w:ind w:firstLine="720"/>
        <w:rPr>
          <w:sz w:val="40"/>
          <w:szCs w:val="40"/>
          <w:lang w:val="en-GB"/>
        </w:rPr>
      </w:pPr>
    </w:p>
    <w:p w:rsidR="00800FDE" w:rsidRPr="00A44A6D" w:rsidRDefault="00800FDE" w:rsidP="002E6148">
      <w:pPr>
        <w:spacing w:line="360" w:lineRule="auto"/>
        <w:ind w:firstLine="720"/>
        <w:rPr>
          <w:sz w:val="40"/>
          <w:szCs w:val="40"/>
          <w:highlight w:val="yellow"/>
          <w:lang w:val="en-GB"/>
        </w:rPr>
      </w:pPr>
      <w:r w:rsidRPr="00A44A6D">
        <w:rPr>
          <w:sz w:val="40"/>
          <w:szCs w:val="40"/>
          <w:lang w:val="en-GB"/>
        </w:rPr>
        <w:t xml:space="preserve">The report notes that </w:t>
      </w:r>
      <w:r w:rsidR="005C6E37" w:rsidRPr="00A44A6D">
        <w:rPr>
          <w:sz w:val="40"/>
          <w:szCs w:val="40"/>
          <w:lang w:val="en-GB"/>
        </w:rPr>
        <w:t>during the reporting period</w:t>
      </w:r>
      <w:r w:rsidR="009C1B1E" w:rsidRPr="00A44A6D">
        <w:rPr>
          <w:sz w:val="40"/>
          <w:szCs w:val="40"/>
          <w:lang w:val="en-GB"/>
        </w:rPr>
        <w:t xml:space="preserve"> – between </w:t>
      </w:r>
      <w:r w:rsidR="009C1B1E" w:rsidRPr="00A44A6D">
        <w:rPr>
          <w:sz w:val="40"/>
          <w:szCs w:val="40"/>
        </w:rPr>
        <w:t>1 Nov</w:t>
      </w:r>
      <w:r w:rsidR="003F2A56" w:rsidRPr="00A44A6D">
        <w:rPr>
          <w:sz w:val="40"/>
          <w:szCs w:val="40"/>
        </w:rPr>
        <w:t xml:space="preserve">ember </w:t>
      </w:r>
      <w:r w:rsidR="00A45951" w:rsidRPr="00A44A6D">
        <w:rPr>
          <w:sz w:val="40"/>
          <w:szCs w:val="40"/>
        </w:rPr>
        <w:t>2019</w:t>
      </w:r>
      <w:r w:rsidR="003F2A56" w:rsidRPr="00A44A6D">
        <w:rPr>
          <w:sz w:val="40"/>
          <w:szCs w:val="40"/>
        </w:rPr>
        <w:t xml:space="preserve"> and 31 October </w:t>
      </w:r>
      <w:r w:rsidR="00A45951" w:rsidRPr="00A44A6D">
        <w:rPr>
          <w:sz w:val="40"/>
          <w:szCs w:val="40"/>
        </w:rPr>
        <w:t>2020</w:t>
      </w:r>
      <w:r w:rsidR="007A398B" w:rsidRPr="00A44A6D">
        <w:rPr>
          <w:sz w:val="40"/>
          <w:szCs w:val="40"/>
        </w:rPr>
        <w:t xml:space="preserve"> --</w:t>
      </w:r>
      <w:r w:rsidR="005C6E37" w:rsidRPr="00A44A6D">
        <w:rPr>
          <w:sz w:val="40"/>
          <w:szCs w:val="40"/>
          <w:lang w:val="en-GB"/>
        </w:rPr>
        <w:t xml:space="preserve"> </w:t>
      </w:r>
      <w:r w:rsidR="00435749" w:rsidRPr="00A44A6D">
        <w:rPr>
          <w:sz w:val="40"/>
          <w:szCs w:val="40"/>
          <w:lang w:val="en-GB"/>
        </w:rPr>
        <w:t>plans for new housing units in Israeli settlements advanced at a rapid pace</w:t>
      </w:r>
      <w:r w:rsidR="007A398B" w:rsidRPr="00A44A6D">
        <w:rPr>
          <w:sz w:val="40"/>
          <w:szCs w:val="40"/>
          <w:lang w:val="en-GB"/>
        </w:rPr>
        <w:t>.</w:t>
      </w:r>
      <w:r w:rsidR="00435749" w:rsidRPr="00A44A6D">
        <w:rPr>
          <w:sz w:val="40"/>
          <w:szCs w:val="40"/>
          <w:lang w:val="en-GB"/>
        </w:rPr>
        <w:t xml:space="preserve"> </w:t>
      </w:r>
      <w:r w:rsidR="00B0078C" w:rsidRPr="00A44A6D">
        <w:rPr>
          <w:sz w:val="40"/>
          <w:szCs w:val="40"/>
          <w:lang w:val="en-GB"/>
        </w:rPr>
        <w:t>T</w:t>
      </w:r>
      <w:r w:rsidR="00435749" w:rsidRPr="00A44A6D">
        <w:rPr>
          <w:sz w:val="40"/>
          <w:szCs w:val="40"/>
          <w:lang w:val="en-GB"/>
        </w:rPr>
        <w:t xml:space="preserve">he announcement of tenders accelerated, including in the strategic area of E-1, which is of particular concern as this would isolate East Jerusalem from the rest of the West Bank and threaten to fragment the contiguity of the West Bank. </w:t>
      </w:r>
      <w:r w:rsidR="00A45951" w:rsidRPr="00A44A6D">
        <w:rPr>
          <w:sz w:val="40"/>
          <w:szCs w:val="40"/>
          <w:lang w:val="en-GB"/>
        </w:rPr>
        <w:t xml:space="preserve">Policies and acts contributing to a coercive environment, including demolition of Palestinian property and </w:t>
      </w:r>
      <w:r w:rsidR="00B0078C" w:rsidRPr="00A44A6D">
        <w:rPr>
          <w:sz w:val="40"/>
          <w:szCs w:val="40"/>
          <w:lang w:val="en-GB"/>
        </w:rPr>
        <w:t xml:space="preserve">the </w:t>
      </w:r>
      <w:r w:rsidR="00A45951" w:rsidRPr="00A44A6D">
        <w:rPr>
          <w:sz w:val="40"/>
          <w:szCs w:val="40"/>
          <w:lang w:val="en-GB"/>
        </w:rPr>
        <w:t>resulting displacement, reached</w:t>
      </w:r>
      <w:r w:rsidR="00456587" w:rsidRPr="00A44A6D">
        <w:rPr>
          <w:sz w:val="40"/>
          <w:szCs w:val="40"/>
          <w:lang w:val="en-GB"/>
        </w:rPr>
        <w:t xml:space="preserve"> the highest levels since 2016</w:t>
      </w:r>
      <w:r w:rsidR="00B0078C" w:rsidRPr="00A44A6D">
        <w:rPr>
          <w:sz w:val="40"/>
          <w:szCs w:val="40"/>
          <w:lang w:val="en-GB"/>
        </w:rPr>
        <w:t>,</w:t>
      </w:r>
      <w:r w:rsidR="00456587" w:rsidRPr="00A44A6D">
        <w:rPr>
          <w:sz w:val="40"/>
          <w:szCs w:val="40"/>
          <w:lang w:val="en-GB"/>
        </w:rPr>
        <w:t xml:space="preserve"> </w:t>
      </w:r>
      <w:r w:rsidR="00A45951" w:rsidRPr="00A44A6D">
        <w:rPr>
          <w:sz w:val="40"/>
          <w:szCs w:val="40"/>
          <w:lang w:val="en-GB"/>
        </w:rPr>
        <w:t xml:space="preserve">despite the COVID-19 pandemic. </w:t>
      </w:r>
      <w:r w:rsidR="00930A23" w:rsidRPr="00A44A6D">
        <w:rPr>
          <w:sz w:val="40"/>
          <w:szCs w:val="40"/>
          <w:lang w:val="en-GB"/>
        </w:rPr>
        <w:t>The demolition of residen</w:t>
      </w:r>
      <w:r w:rsidR="00B0078C" w:rsidRPr="00A44A6D">
        <w:rPr>
          <w:sz w:val="40"/>
          <w:szCs w:val="40"/>
          <w:lang w:val="en-GB"/>
        </w:rPr>
        <w:t>ces</w:t>
      </w:r>
      <w:r w:rsidR="00930A23" w:rsidRPr="00A44A6D">
        <w:rPr>
          <w:sz w:val="40"/>
          <w:szCs w:val="40"/>
          <w:lang w:val="en-GB"/>
        </w:rPr>
        <w:t xml:space="preserve">, </w:t>
      </w:r>
      <w:r w:rsidR="00B0078C" w:rsidRPr="00A44A6D">
        <w:rPr>
          <w:sz w:val="40"/>
          <w:szCs w:val="40"/>
          <w:lang w:val="en-GB"/>
        </w:rPr>
        <w:t xml:space="preserve">as well as of health, </w:t>
      </w:r>
      <w:r w:rsidR="00930A23" w:rsidRPr="00A44A6D">
        <w:rPr>
          <w:sz w:val="40"/>
          <w:szCs w:val="40"/>
          <w:lang w:val="en-GB"/>
        </w:rPr>
        <w:t xml:space="preserve">water, </w:t>
      </w:r>
      <w:r w:rsidR="00A92FA7" w:rsidRPr="00A44A6D">
        <w:rPr>
          <w:sz w:val="40"/>
          <w:szCs w:val="40"/>
          <w:lang w:val="en-GB"/>
        </w:rPr>
        <w:t>and sanitation</w:t>
      </w:r>
      <w:r w:rsidR="00930A23" w:rsidRPr="00A44A6D">
        <w:rPr>
          <w:sz w:val="40"/>
          <w:szCs w:val="40"/>
          <w:lang w:val="en-GB"/>
        </w:rPr>
        <w:t xml:space="preserve"> and hygiene facilities during a public health crisis further exposed many Palestinians to </w:t>
      </w:r>
      <w:r w:rsidR="00B0078C" w:rsidRPr="00A44A6D">
        <w:rPr>
          <w:sz w:val="40"/>
          <w:szCs w:val="40"/>
          <w:lang w:val="en-GB"/>
        </w:rPr>
        <w:t xml:space="preserve">associated </w:t>
      </w:r>
      <w:r w:rsidR="00930A23" w:rsidRPr="00A44A6D">
        <w:rPr>
          <w:sz w:val="40"/>
          <w:szCs w:val="40"/>
          <w:lang w:val="en-GB"/>
        </w:rPr>
        <w:t>risks</w:t>
      </w:r>
      <w:r w:rsidR="00B0078C" w:rsidRPr="00A44A6D">
        <w:rPr>
          <w:sz w:val="40"/>
          <w:szCs w:val="40"/>
          <w:lang w:val="en-GB"/>
        </w:rPr>
        <w:t>.</w:t>
      </w:r>
      <w:r w:rsidR="00930A23" w:rsidRPr="00A44A6D">
        <w:rPr>
          <w:sz w:val="40"/>
          <w:szCs w:val="40"/>
          <w:lang w:val="en-GB"/>
        </w:rPr>
        <w:t xml:space="preserve"> </w:t>
      </w:r>
    </w:p>
    <w:p w:rsidR="00926CC9" w:rsidRPr="00A44A6D" w:rsidRDefault="00926CC9" w:rsidP="002E6148">
      <w:pPr>
        <w:spacing w:line="360" w:lineRule="auto"/>
        <w:ind w:firstLine="720"/>
        <w:rPr>
          <w:sz w:val="40"/>
          <w:szCs w:val="40"/>
          <w:highlight w:val="yellow"/>
          <w:lang w:val="en-GB"/>
        </w:rPr>
      </w:pPr>
    </w:p>
    <w:p w:rsidR="00480812" w:rsidRPr="00A44A6D" w:rsidRDefault="00480812" w:rsidP="002E6148">
      <w:pPr>
        <w:spacing w:line="360" w:lineRule="auto"/>
        <w:ind w:firstLine="720"/>
        <w:rPr>
          <w:sz w:val="40"/>
          <w:szCs w:val="40"/>
          <w:lang w:val="en-GB"/>
        </w:rPr>
      </w:pPr>
      <w:r w:rsidRPr="00A44A6D">
        <w:rPr>
          <w:sz w:val="40"/>
          <w:szCs w:val="40"/>
          <w:lang w:val="en-GB"/>
        </w:rPr>
        <w:t>During the period</w:t>
      </w:r>
      <w:r w:rsidR="00824B15" w:rsidRPr="00A44A6D">
        <w:rPr>
          <w:sz w:val="40"/>
          <w:szCs w:val="40"/>
          <w:lang w:val="en-GB"/>
        </w:rPr>
        <w:t xml:space="preserve"> under review</w:t>
      </w:r>
      <w:r w:rsidRPr="00A44A6D">
        <w:rPr>
          <w:sz w:val="40"/>
          <w:szCs w:val="40"/>
          <w:lang w:val="en-GB"/>
        </w:rPr>
        <w:t>,</w:t>
      </w:r>
      <w:r w:rsidR="00930A23" w:rsidRPr="00A44A6D">
        <w:rPr>
          <w:sz w:val="40"/>
          <w:szCs w:val="40"/>
          <w:lang w:val="en-GB"/>
        </w:rPr>
        <w:t xml:space="preserve"> high levels of settler violence persisted, </w:t>
      </w:r>
      <w:r w:rsidR="00A92FA7" w:rsidRPr="00A44A6D">
        <w:rPr>
          <w:sz w:val="40"/>
          <w:szCs w:val="40"/>
          <w:lang w:val="en-GB"/>
        </w:rPr>
        <w:t>with significant</w:t>
      </w:r>
      <w:r w:rsidR="00930A23" w:rsidRPr="00A44A6D">
        <w:rPr>
          <w:sz w:val="40"/>
          <w:szCs w:val="40"/>
          <w:lang w:val="en-GB"/>
        </w:rPr>
        <w:t xml:space="preserve"> lack of accountability. </w:t>
      </w:r>
      <w:r w:rsidR="00943C85" w:rsidRPr="00A44A6D">
        <w:rPr>
          <w:sz w:val="40"/>
          <w:szCs w:val="40"/>
          <w:lang w:val="en-GB"/>
        </w:rPr>
        <w:t>Three hundred and thirty</w:t>
      </w:r>
      <w:r w:rsidR="00530761" w:rsidRPr="00A44A6D">
        <w:rPr>
          <w:sz w:val="40"/>
          <w:szCs w:val="40"/>
          <w:lang w:val="en-GB"/>
        </w:rPr>
        <w:t>-</w:t>
      </w:r>
      <w:r w:rsidR="00943C85" w:rsidRPr="00A44A6D">
        <w:rPr>
          <w:sz w:val="40"/>
          <w:szCs w:val="40"/>
          <w:lang w:val="en-GB"/>
        </w:rPr>
        <w:t xml:space="preserve">nine </w:t>
      </w:r>
      <w:r w:rsidR="007E49F1" w:rsidRPr="00A44A6D">
        <w:rPr>
          <w:sz w:val="40"/>
          <w:szCs w:val="40"/>
        </w:rPr>
        <w:t>incidents of settler violence</w:t>
      </w:r>
      <w:r w:rsidR="00930A23" w:rsidRPr="00A44A6D">
        <w:rPr>
          <w:sz w:val="40"/>
          <w:szCs w:val="40"/>
        </w:rPr>
        <w:t xml:space="preserve"> were</w:t>
      </w:r>
      <w:r w:rsidR="007E49F1" w:rsidRPr="00A44A6D">
        <w:rPr>
          <w:sz w:val="40"/>
          <w:szCs w:val="40"/>
        </w:rPr>
        <w:t xml:space="preserve"> documented</w:t>
      </w:r>
      <w:r w:rsidR="00930A23" w:rsidRPr="00A44A6D">
        <w:rPr>
          <w:sz w:val="40"/>
          <w:szCs w:val="40"/>
        </w:rPr>
        <w:t xml:space="preserve"> during which 142 Palestinians were injured, and a total of 8,700 trees and 477 vehicles owned by Palestinians were vandalized.</w:t>
      </w:r>
      <w:r w:rsidR="00B55304" w:rsidRPr="00A44A6D">
        <w:rPr>
          <w:sz w:val="40"/>
          <w:szCs w:val="40"/>
          <w:lang w:val="en-GB"/>
        </w:rPr>
        <w:t xml:space="preserve"> </w:t>
      </w:r>
      <w:r w:rsidR="007E49F1" w:rsidRPr="00A44A6D">
        <w:rPr>
          <w:sz w:val="40"/>
          <w:szCs w:val="40"/>
          <w:lang w:val="en-GB"/>
        </w:rPr>
        <w:t>In this reporting period, there were concerning incidents of settler violence targeting pe</w:t>
      </w:r>
      <w:r w:rsidR="00B0078C" w:rsidRPr="00A44A6D">
        <w:rPr>
          <w:sz w:val="40"/>
          <w:szCs w:val="40"/>
          <w:lang w:val="en-GB"/>
        </w:rPr>
        <w:t>ople</w:t>
      </w:r>
      <w:r w:rsidR="007E49F1" w:rsidRPr="00A44A6D">
        <w:rPr>
          <w:sz w:val="40"/>
          <w:szCs w:val="40"/>
          <w:lang w:val="en-GB"/>
        </w:rPr>
        <w:t xml:space="preserve"> in vulnerable situation</w:t>
      </w:r>
      <w:r w:rsidR="00B0078C" w:rsidRPr="00A44A6D">
        <w:rPr>
          <w:sz w:val="40"/>
          <w:szCs w:val="40"/>
          <w:lang w:val="en-GB"/>
        </w:rPr>
        <w:t>s</w:t>
      </w:r>
      <w:r w:rsidR="007E49F1" w:rsidRPr="00A44A6D">
        <w:rPr>
          <w:sz w:val="40"/>
          <w:szCs w:val="40"/>
          <w:lang w:val="en-GB"/>
        </w:rPr>
        <w:t xml:space="preserve">, including children, </w:t>
      </w:r>
      <w:r w:rsidR="00B0078C" w:rsidRPr="00A44A6D">
        <w:rPr>
          <w:sz w:val="40"/>
          <w:szCs w:val="40"/>
          <w:lang w:val="en-GB"/>
        </w:rPr>
        <w:t>older people and those with</w:t>
      </w:r>
      <w:r w:rsidR="007E49F1" w:rsidRPr="00A44A6D">
        <w:rPr>
          <w:sz w:val="40"/>
          <w:szCs w:val="40"/>
          <w:lang w:val="en-GB"/>
        </w:rPr>
        <w:t xml:space="preserve"> disabilities. </w:t>
      </w:r>
      <w:r w:rsidR="00741278" w:rsidRPr="00A44A6D">
        <w:rPr>
          <w:sz w:val="40"/>
          <w:szCs w:val="40"/>
          <w:lang w:val="en-GB"/>
        </w:rPr>
        <w:t>I</w:t>
      </w:r>
      <w:r w:rsidR="00307A5C" w:rsidRPr="00A44A6D">
        <w:rPr>
          <w:sz w:val="40"/>
          <w:szCs w:val="40"/>
          <w:lang w:val="en-GB"/>
        </w:rPr>
        <w:t>n many instances</w:t>
      </w:r>
      <w:r w:rsidR="00741278" w:rsidRPr="00A44A6D">
        <w:rPr>
          <w:sz w:val="40"/>
          <w:szCs w:val="40"/>
          <w:lang w:val="en-GB"/>
        </w:rPr>
        <w:t>,</w:t>
      </w:r>
      <w:r w:rsidR="00307A5C" w:rsidRPr="00A44A6D">
        <w:rPr>
          <w:sz w:val="40"/>
          <w:szCs w:val="40"/>
          <w:lang w:val="en-GB"/>
        </w:rPr>
        <w:t xml:space="preserve"> </w:t>
      </w:r>
      <w:r w:rsidR="007E49F1" w:rsidRPr="00A44A6D">
        <w:rPr>
          <w:sz w:val="40"/>
          <w:szCs w:val="40"/>
          <w:lang w:val="en-GB"/>
        </w:rPr>
        <w:t xml:space="preserve">incidents took place in the presence of </w:t>
      </w:r>
      <w:r w:rsidR="00307A5C" w:rsidRPr="00A44A6D">
        <w:rPr>
          <w:sz w:val="40"/>
          <w:szCs w:val="40"/>
          <w:lang w:val="en-GB"/>
        </w:rPr>
        <w:t>I</w:t>
      </w:r>
      <w:r w:rsidRPr="00A44A6D">
        <w:rPr>
          <w:sz w:val="40"/>
          <w:szCs w:val="40"/>
          <w:lang w:val="en-GB"/>
        </w:rPr>
        <w:t xml:space="preserve">sraeli </w:t>
      </w:r>
      <w:r w:rsidR="00307A5C" w:rsidRPr="00A44A6D">
        <w:rPr>
          <w:sz w:val="40"/>
          <w:szCs w:val="40"/>
          <w:lang w:val="en-GB"/>
        </w:rPr>
        <w:t>S</w:t>
      </w:r>
      <w:r w:rsidRPr="00A44A6D">
        <w:rPr>
          <w:sz w:val="40"/>
          <w:szCs w:val="40"/>
          <w:lang w:val="en-GB"/>
        </w:rPr>
        <w:t xml:space="preserve">ecurity </w:t>
      </w:r>
      <w:r w:rsidR="00307A5C" w:rsidRPr="00A44A6D">
        <w:rPr>
          <w:sz w:val="40"/>
          <w:szCs w:val="40"/>
          <w:lang w:val="en-GB"/>
        </w:rPr>
        <w:t>F</w:t>
      </w:r>
      <w:r w:rsidRPr="00A44A6D">
        <w:rPr>
          <w:sz w:val="40"/>
          <w:szCs w:val="40"/>
          <w:lang w:val="en-GB"/>
        </w:rPr>
        <w:t>orces</w:t>
      </w:r>
      <w:r w:rsidR="00D81A4E" w:rsidRPr="00A44A6D">
        <w:rPr>
          <w:sz w:val="40"/>
          <w:szCs w:val="40"/>
          <w:lang w:val="en-GB"/>
        </w:rPr>
        <w:t xml:space="preserve">, </w:t>
      </w:r>
      <w:r w:rsidR="007E49F1" w:rsidRPr="00A44A6D">
        <w:rPr>
          <w:sz w:val="40"/>
          <w:szCs w:val="40"/>
          <w:lang w:val="en-GB"/>
        </w:rPr>
        <w:t xml:space="preserve">who </w:t>
      </w:r>
      <w:r w:rsidR="00307A5C" w:rsidRPr="00A44A6D">
        <w:rPr>
          <w:sz w:val="40"/>
          <w:szCs w:val="40"/>
          <w:lang w:val="en-GB"/>
        </w:rPr>
        <w:t>failed to protect the Palestinian populatio</w:t>
      </w:r>
      <w:r w:rsidR="00D81A4E" w:rsidRPr="00A44A6D">
        <w:rPr>
          <w:sz w:val="40"/>
          <w:szCs w:val="40"/>
          <w:lang w:val="en-GB"/>
        </w:rPr>
        <w:t xml:space="preserve">n, and in some instances even </w:t>
      </w:r>
      <w:r w:rsidR="00307A5C" w:rsidRPr="00A44A6D">
        <w:rPr>
          <w:sz w:val="40"/>
          <w:szCs w:val="40"/>
          <w:lang w:val="en-GB"/>
        </w:rPr>
        <w:t xml:space="preserve">participated in the </w:t>
      </w:r>
      <w:r w:rsidR="00D81A4E" w:rsidRPr="00A44A6D">
        <w:rPr>
          <w:sz w:val="40"/>
          <w:szCs w:val="40"/>
          <w:lang w:val="en-GB"/>
        </w:rPr>
        <w:t xml:space="preserve">incidents of </w:t>
      </w:r>
      <w:r w:rsidR="00307A5C" w:rsidRPr="00A44A6D">
        <w:rPr>
          <w:sz w:val="40"/>
          <w:szCs w:val="40"/>
          <w:lang w:val="en-GB"/>
        </w:rPr>
        <w:t>harassment and attacks</w:t>
      </w:r>
      <w:r w:rsidR="00800FDE" w:rsidRPr="00A44A6D">
        <w:rPr>
          <w:sz w:val="40"/>
          <w:szCs w:val="40"/>
          <w:lang w:val="en-GB"/>
        </w:rPr>
        <w:t xml:space="preserve">. </w:t>
      </w:r>
      <w:r w:rsidR="005D4114" w:rsidRPr="00A44A6D">
        <w:rPr>
          <w:sz w:val="40"/>
          <w:szCs w:val="40"/>
          <w:lang w:val="en-GB"/>
        </w:rPr>
        <w:t xml:space="preserve">Impunity </w:t>
      </w:r>
      <w:r w:rsidR="000403BE" w:rsidRPr="00A44A6D">
        <w:rPr>
          <w:sz w:val="40"/>
          <w:szCs w:val="40"/>
          <w:lang w:val="en-GB"/>
        </w:rPr>
        <w:t xml:space="preserve">continued to </w:t>
      </w:r>
      <w:r w:rsidR="005D4114" w:rsidRPr="00A44A6D">
        <w:rPr>
          <w:sz w:val="40"/>
          <w:szCs w:val="40"/>
          <w:lang w:val="en-GB"/>
        </w:rPr>
        <w:t xml:space="preserve">prevail for most </w:t>
      </w:r>
      <w:r w:rsidR="000403BE" w:rsidRPr="00A44A6D">
        <w:rPr>
          <w:sz w:val="40"/>
          <w:szCs w:val="40"/>
          <w:lang w:val="en-GB"/>
        </w:rPr>
        <w:t xml:space="preserve">of these </w:t>
      </w:r>
      <w:r w:rsidR="005D4114" w:rsidRPr="00A44A6D">
        <w:rPr>
          <w:sz w:val="40"/>
          <w:szCs w:val="40"/>
          <w:lang w:val="en-GB"/>
        </w:rPr>
        <w:t>acts.</w:t>
      </w:r>
    </w:p>
    <w:p w:rsidR="00930A23" w:rsidRPr="00A44A6D" w:rsidRDefault="00930A23" w:rsidP="002E6148">
      <w:pPr>
        <w:spacing w:line="360" w:lineRule="auto"/>
        <w:ind w:firstLine="720"/>
        <w:rPr>
          <w:sz w:val="40"/>
          <w:szCs w:val="40"/>
          <w:lang w:val="en-GB"/>
        </w:rPr>
      </w:pPr>
    </w:p>
    <w:p w:rsidR="00930A23" w:rsidRPr="00A44A6D" w:rsidRDefault="00046D53" w:rsidP="002E6148">
      <w:pPr>
        <w:spacing w:line="360" w:lineRule="auto"/>
        <w:ind w:firstLine="720"/>
        <w:rPr>
          <w:sz w:val="40"/>
          <w:szCs w:val="40"/>
          <w:lang w:val="en-GB"/>
        </w:rPr>
      </w:pPr>
      <w:r w:rsidRPr="00A44A6D">
        <w:rPr>
          <w:sz w:val="40"/>
          <w:szCs w:val="40"/>
          <w:lang w:val="en-GB"/>
        </w:rPr>
        <w:t>S</w:t>
      </w:r>
      <w:r w:rsidR="00930A23" w:rsidRPr="00A44A6D">
        <w:rPr>
          <w:sz w:val="40"/>
          <w:szCs w:val="40"/>
          <w:lang w:val="en-GB"/>
        </w:rPr>
        <w:t>ettler violence has dramatically escalated since the end of the reporting period</w:t>
      </w:r>
      <w:r w:rsidR="00C64C42" w:rsidRPr="00A44A6D">
        <w:rPr>
          <w:sz w:val="40"/>
          <w:szCs w:val="40"/>
          <w:lang w:val="en-GB"/>
        </w:rPr>
        <w:t xml:space="preserve">. </w:t>
      </w:r>
      <w:r w:rsidR="00930A23" w:rsidRPr="00A44A6D">
        <w:rPr>
          <w:sz w:val="40"/>
          <w:szCs w:val="40"/>
          <w:lang w:val="en-GB"/>
        </w:rPr>
        <w:t xml:space="preserve"> A spike in the number and severity of incidents has</w:t>
      </w:r>
      <w:r w:rsidRPr="00A44A6D">
        <w:rPr>
          <w:sz w:val="40"/>
          <w:szCs w:val="40"/>
          <w:lang w:val="en-GB"/>
        </w:rPr>
        <w:t xml:space="preserve"> since</w:t>
      </w:r>
      <w:r w:rsidR="00930A23" w:rsidRPr="00A44A6D">
        <w:rPr>
          <w:sz w:val="40"/>
          <w:szCs w:val="40"/>
          <w:lang w:val="en-GB"/>
        </w:rPr>
        <w:t xml:space="preserve"> been recorded across </w:t>
      </w:r>
      <w:r w:rsidR="00930A23" w:rsidRPr="00A44A6D">
        <w:rPr>
          <w:sz w:val="40"/>
          <w:szCs w:val="40"/>
          <w:lang w:val="en-GB"/>
        </w:rPr>
        <w:lastRenderedPageBreak/>
        <w:t>the West Bank</w:t>
      </w:r>
      <w:r w:rsidRPr="00A44A6D">
        <w:rPr>
          <w:sz w:val="40"/>
          <w:szCs w:val="40"/>
          <w:lang w:val="en-GB"/>
        </w:rPr>
        <w:t>. These include</w:t>
      </w:r>
      <w:r w:rsidR="00930A23" w:rsidRPr="00A44A6D">
        <w:rPr>
          <w:sz w:val="40"/>
          <w:szCs w:val="40"/>
          <w:lang w:val="en-GB"/>
        </w:rPr>
        <w:t xml:space="preserve"> continued stone throwing attacks at key junctions and in the vicinity of Israeli outposts and settlements, armed house assaults, and Palestinians held at gunpoint. I reiterate the obligation of Israel, as the occupying power, to ensure security and well-being of the Palestinian population. </w:t>
      </w:r>
    </w:p>
    <w:p w:rsidR="00D9171A" w:rsidRPr="00A44A6D" w:rsidRDefault="00211C60" w:rsidP="002E6148">
      <w:pPr>
        <w:spacing w:line="360" w:lineRule="auto"/>
        <w:ind w:firstLine="720"/>
        <w:rPr>
          <w:sz w:val="40"/>
          <w:szCs w:val="40"/>
        </w:rPr>
      </w:pPr>
      <w:r w:rsidRPr="00A44A6D">
        <w:rPr>
          <w:sz w:val="40"/>
          <w:szCs w:val="40"/>
        </w:rPr>
        <w:tab/>
      </w:r>
    </w:p>
    <w:p w:rsidR="00D81A4E" w:rsidRPr="00A44A6D" w:rsidRDefault="00D9171A" w:rsidP="002E6148">
      <w:pPr>
        <w:spacing w:line="360" w:lineRule="auto"/>
        <w:ind w:firstLine="720"/>
        <w:rPr>
          <w:sz w:val="40"/>
          <w:szCs w:val="40"/>
        </w:rPr>
      </w:pPr>
      <w:r w:rsidRPr="00A44A6D">
        <w:rPr>
          <w:sz w:val="40"/>
          <w:szCs w:val="40"/>
          <w:lang w:val="en-GB"/>
        </w:rPr>
        <w:t xml:space="preserve">Finally, on a related issue, questions have been raised in the course of this session with respect to my report to </w:t>
      </w:r>
      <w:r w:rsidRPr="00A44A6D">
        <w:rPr>
          <w:sz w:val="40"/>
          <w:szCs w:val="40"/>
        </w:rPr>
        <w:t>the Council’s 43</w:t>
      </w:r>
      <w:r w:rsidRPr="00A44A6D">
        <w:rPr>
          <w:sz w:val="40"/>
          <w:szCs w:val="40"/>
          <w:vertAlign w:val="superscript"/>
        </w:rPr>
        <w:t>rd</w:t>
      </w:r>
      <w:r w:rsidRPr="00A44A6D">
        <w:rPr>
          <w:sz w:val="40"/>
          <w:szCs w:val="40"/>
        </w:rPr>
        <w:t xml:space="preserve"> session issued</w:t>
      </w:r>
      <w:r w:rsidR="00205284" w:rsidRPr="00A44A6D">
        <w:rPr>
          <w:sz w:val="40"/>
          <w:szCs w:val="40"/>
        </w:rPr>
        <w:t xml:space="preserve"> under resolution 31/36 (A/HRC/42/71</w:t>
      </w:r>
      <w:r w:rsidRPr="00A44A6D">
        <w:rPr>
          <w:sz w:val="40"/>
          <w:szCs w:val="40"/>
        </w:rPr>
        <w:t xml:space="preserve">) and associated process. </w:t>
      </w:r>
      <w:r w:rsidR="004D12E5" w:rsidRPr="00A44A6D">
        <w:rPr>
          <w:sz w:val="40"/>
          <w:szCs w:val="40"/>
        </w:rPr>
        <w:t>Operative paragraph 17, which mandated that the data contained in the database be reported to the Council’s 34</w:t>
      </w:r>
      <w:r w:rsidR="004D12E5" w:rsidRPr="00A44A6D">
        <w:rPr>
          <w:sz w:val="40"/>
          <w:szCs w:val="40"/>
          <w:vertAlign w:val="superscript"/>
        </w:rPr>
        <w:t>th</w:t>
      </w:r>
      <w:r w:rsidR="004D12E5" w:rsidRPr="00A44A6D">
        <w:rPr>
          <w:sz w:val="40"/>
          <w:szCs w:val="40"/>
        </w:rPr>
        <w:t xml:space="preserve"> session, also contemplated the database “to be updated annually</w:t>
      </w:r>
      <w:r w:rsidR="004D12E5" w:rsidRPr="00A44A6D">
        <w:rPr>
          <w:color w:val="000000"/>
          <w:sz w:val="40"/>
          <w:szCs w:val="40"/>
        </w:rPr>
        <w:t xml:space="preserve">”. </w:t>
      </w:r>
      <w:r w:rsidRPr="00A44A6D">
        <w:rPr>
          <w:sz w:val="40"/>
          <w:szCs w:val="40"/>
        </w:rPr>
        <w:t xml:space="preserve">In the Statement of </w:t>
      </w:r>
      <w:proofErr w:type="spellStart"/>
      <w:r w:rsidRPr="00A44A6D">
        <w:rPr>
          <w:sz w:val="40"/>
          <w:szCs w:val="40"/>
        </w:rPr>
        <w:t>Programme</w:t>
      </w:r>
      <w:proofErr w:type="spellEnd"/>
      <w:r w:rsidRPr="00A44A6D">
        <w:rPr>
          <w:sz w:val="40"/>
          <w:szCs w:val="40"/>
        </w:rPr>
        <w:t xml:space="preserve"> Budget Implications </w:t>
      </w:r>
      <w:r w:rsidR="004D12E5" w:rsidRPr="00A44A6D">
        <w:rPr>
          <w:sz w:val="40"/>
          <w:szCs w:val="40"/>
        </w:rPr>
        <w:t xml:space="preserve">read out </w:t>
      </w:r>
      <w:r w:rsidRPr="00A44A6D">
        <w:rPr>
          <w:sz w:val="40"/>
          <w:szCs w:val="40"/>
        </w:rPr>
        <w:t xml:space="preserve">prior to the Council’s adoption of resolution 31/36 in March 2016, </w:t>
      </w:r>
      <w:r w:rsidR="004D12E5" w:rsidRPr="00A44A6D">
        <w:rPr>
          <w:sz w:val="40"/>
          <w:szCs w:val="40"/>
        </w:rPr>
        <w:t xml:space="preserve">however, </w:t>
      </w:r>
      <w:r w:rsidRPr="00A44A6D">
        <w:rPr>
          <w:sz w:val="40"/>
          <w:szCs w:val="40"/>
        </w:rPr>
        <w:t xml:space="preserve">it was clearly stated that resource implications </w:t>
      </w:r>
      <w:r w:rsidR="004D12E5" w:rsidRPr="00A44A6D">
        <w:rPr>
          <w:sz w:val="40"/>
          <w:szCs w:val="40"/>
        </w:rPr>
        <w:t xml:space="preserve">of the resolution </w:t>
      </w:r>
      <w:r w:rsidRPr="00A44A6D">
        <w:rPr>
          <w:sz w:val="40"/>
          <w:szCs w:val="40"/>
        </w:rPr>
        <w:t xml:space="preserve">set out </w:t>
      </w:r>
      <w:r w:rsidR="004D12E5" w:rsidRPr="00A44A6D">
        <w:rPr>
          <w:sz w:val="40"/>
          <w:szCs w:val="40"/>
        </w:rPr>
        <w:t xml:space="preserve">in the Statement </w:t>
      </w:r>
      <w:r w:rsidRPr="00A44A6D">
        <w:rPr>
          <w:sz w:val="40"/>
          <w:szCs w:val="40"/>
        </w:rPr>
        <w:t>were on a one-time basis.</w:t>
      </w:r>
    </w:p>
    <w:p w:rsidR="00D9171A" w:rsidRPr="00A44A6D" w:rsidRDefault="00D9171A" w:rsidP="002E6148">
      <w:pPr>
        <w:spacing w:line="360" w:lineRule="auto"/>
        <w:ind w:firstLine="720"/>
        <w:rPr>
          <w:color w:val="000000" w:themeColor="text1"/>
          <w:sz w:val="40"/>
          <w:szCs w:val="40"/>
        </w:rPr>
      </w:pPr>
      <w:r w:rsidRPr="00A44A6D">
        <w:rPr>
          <w:sz w:val="40"/>
          <w:szCs w:val="40"/>
        </w:rPr>
        <w:lastRenderedPageBreak/>
        <w:t xml:space="preserve"> In my statement last June to the Council’s resumed </w:t>
      </w:r>
      <w:r w:rsidR="004D12E5" w:rsidRPr="00A44A6D">
        <w:rPr>
          <w:sz w:val="40"/>
          <w:szCs w:val="40"/>
        </w:rPr>
        <w:t>43</w:t>
      </w:r>
      <w:r w:rsidR="004D12E5" w:rsidRPr="00A44A6D">
        <w:rPr>
          <w:sz w:val="40"/>
          <w:szCs w:val="40"/>
          <w:vertAlign w:val="superscript"/>
        </w:rPr>
        <w:t>rd</w:t>
      </w:r>
      <w:r w:rsidR="004D12E5" w:rsidRPr="00A44A6D">
        <w:rPr>
          <w:sz w:val="40"/>
          <w:szCs w:val="40"/>
        </w:rPr>
        <w:t xml:space="preserve"> </w:t>
      </w:r>
      <w:r w:rsidRPr="00A44A6D">
        <w:rPr>
          <w:sz w:val="40"/>
          <w:szCs w:val="40"/>
        </w:rPr>
        <w:t xml:space="preserve">session on introduction of this report, I also specifically noted the question of resource requirements for any further work. It is not possible for the Office to absorb, on an open-ended recurring basis into the future, the substantial resources that updating the database and reporting to the Council would annually imply. Any further work in this area </w:t>
      </w:r>
      <w:r w:rsidR="00A4430A" w:rsidRPr="00A44A6D">
        <w:rPr>
          <w:sz w:val="40"/>
          <w:szCs w:val="40"/>
        </w:rPr>
        <w:t xml:space="preserve">can only </w:t>
      </w:r>
      <w:r w:rsidRPr="00A44A6D">
        <w:rPr>
          <w:sz w:val="40"/>
          <w:szCs w:val="40"/>
        </w:rPr>
        <w:t>be discharged consistent with the Organization’s budgetary process applicable to funding mandates of the Council.</w:t>
      </w:r>
    </w:p>
    <w:p w:rsidR="00A44A6D" w:rsidRDefault="00A44A6D" w:rsidP="002E6148">
      <w:pPr>
        <w:pStyle w:val="NormalWeb"/>
        <w:spacing w:line="360" w:lineRule="auto"/>
        <w:ind w:firstLine="720"/>
        <w:rPr>
          <w:sz w:val="40"/>
          <w:szCs w:val="40"/>
        </w:rPr>
      </w:pPr>
    </w:p>
    <w:p w:rsidR="00A5382C" w:rsidRPr="00A44A6D" w:rsidRDefault="00A5382C" w:rsidP="002E6148">
      <w:pPr>
        <w:pStyle w:val="NormalWeb"/>
        <w:spacing w:line="360" w:lineRule="auto"/>
        <w:ind w:firstLine="720"/>
        <w:rPr>
          <w:sz w:val="40"/>
          <w:szCs w:val="40"/>
          <w:lang w:val="en-US"/>
        </w:rPr>
      </w:pPr>
      <w:r w:rsidRPr="00A44A6D">
        <w:rPr>
          <w:sz w:val="40"/>
          <w:szCs w:val="40"/>
        </w:rPr>
        <w:t xml:space="preserve">The third report is on </w:t>
      </w:r>
      <w:r w:rsidRPr="00A44A6D">
        <w:rPr>
          <w:b/>
          <w:sz w:val="40"/>
          <w:szCs w:val="40"/>
        </w:rPr>
        <w:t xml:space="preserve">human rights in the occupied </w:t>
      </w:r>
      <w:r w:rsidRPr="00A44A6D">
        <w:rPr>
          <w:b/>
          <w:bCs/>
          <w:sz w:val="40"/>
          <w:szCs w:val="40"/>
        </w:rPr>
        <w:t>Syrian Golan</w:t>
      </w:r>
      <w:r w:rsidRPr="00A44A6D">
        <w:rPr>
          <w:sz w:val="40"/>
          <w:szCs w:val="40"/>
        </w:rPr>
        <w:t xml:space="preserve"> </w:t>
      </w:r>
      <w:r w:rsidR="00022C32" w:rsidRPr="00A44A6D">
        <w:rPr>
          <w:b/>
          <w:bCs/>
          <w:sz w:val="40"/>
          <w:szCs w:val="40"/>
        </w:rPr>
        <w:t>(A/HRC/</w:t>
      </w:r>
      <w:r w:rsidR="00A356ED" w:rsidRPr="00A44A6D">
        <w:rPr>
          <w:b/>
          <w:bCs/>
          <w:sz w:val="40"/>
          <w:szCs w:val="40"/>
        </w:rPr>
        <w:t>46/64</w:t>
      </w:r>
      <w:r w:rsidRPr="00A44A6D">
        <w:rPr>
          <w:b/>
          <w:bCs/>
          <w:sz w:val="40"/>
          <w:szCs w:val="40"/>
        </w:rPr>
        <w:t>)</w:t>
      </w:r>
      <w:r w:rsidRPr="00A44A6D">
        <w:rPr>
          <w:sz w:val="40"/>
          <w:szCs w:val="40"/>
        </w:rPr>
        <w:t>, as</w:t>
      </w:r>
      <w:r w:rsidR="00022C32" w:rsidRPr="00A44A6D">
        <w:rPr>
          <w:sz w:val="40"/>
          <w:szCs w:val="40"/>
        </w:rPr>
        <w:t xml:space="preserve"> requested by </w:t>
      </w:r>
      <w:r w:rsidR="006B2190" w:rsidRPr="00A44A6D">
        <w:rPr>
          <w:sz w:val="40"/>
          <w:szCs w:val="40"/>
        </w:rPr>
        <w:t xml:space="preserve">Human Rights Council </w:t>
      </w:r>
      <w:r w:rsidR="00022C32" w:rsidRPr="00A44A6D">
        <w:rPr>
          <w:sz w:val="40"/>
          <w:szCs w:val="40"/>
        </w:rPr>
        <w:t xml:space="preserve">resolution </w:t>
      </w:r>
      <w:r w:rsidR="00A356ED" w:rsidRPr="00A44A6D">
        <w:rPr>
          <w:sz w:val="40"/>
          <w:szCs w:val="40"/>
        </w:rPr>
        <w:t>43/30</w:t>
      </w:r>
      <w:r w:rsidRPr="00A44A6D">
        <w:rPr>
          <w:sz w:val="40"/>
          <w:szCs w:val="40"/>
        </w:rPr>
        <w:t xml:space="preserve">. </w:t>
      </w:r>
      <w:r w:rsidR="006B2190" w:rsidRPr="00A44A6D">
        <w:rPr>
          <w:sz w:val="40"/>
          <w:szCs w:val="40"/>
        </w:rPr>
        <w:t xml:space="preserve">As per usual practice, this report </w:t>
      </w:r>
      <w:r w:rsidRPr="00A44A6D">
        <w:rPr>
          <w:sz w:val="40"/>
          <w:szCs w:val="40"/>
        </w:rPr>
        <w:t>is based</w:t>
      </w:r>
      <w:bookmarkStart w:id="0" w:name="_GoBack"/>
      <w:bookmarkEnd w:id="0"/>
      <w:r w:rsidRPr="00A44A6D">
        <w:rPr>
          <w:sz w:val="40"/>
          <w:szCs w:val="40"/>
        </w:rPr>
        <w:t xml:space="preserve"> on information received from </w:t>
      </w:r>
      <w:r w:rsidR="006B2190" w:rsidRPr="00A44A6D">
        <w:rPr>
          <w:sz w:val="40"/>
          <w:szCs w:val="40"/>
        </w:rPr>
        <w:t>M</w:t>
      </w:r>
      <w:r w:rsidRPr="00A44A6D">
        <w:rPr>
          <w:sz w:val="40"/>
          <w:szCs w:val="40"/>
        </w:rPr>
        <w:t xml:space="preserve">ember </w:t>
      </w:r>
      <w:r w:rsidR="006B2190" w:rsidRPr="00A44A6D">
        <w:rPr>
          <w:sz w:val="40"/>
          <w:szCs w:val="40"/>
        </w:rPr>
        <w:t>S</w:t>
      </w:r>
      <w:r w:rsidRPr="00A44A6D">
        <w:rPr>
          <w:sz w:val="40"/>
          <w:szCs w:val="40"/>
        </w:rPr>
        <w:t xml:space="preserve">tates. </w:t>
      </w:r>
      <w:r w:rsidR="00DF4F4A" w:rsidRPr="00A44A6D">
        <w:rPr>
          <w:sz w:val="40"/>
          <w:szCs w:val="40"/>
        </w:rPr>
        <w:t xml:space="preserve">For the present report, </w:t>
      </w:r>
      <w:r w:rsidR="00B15BE5" w:rsidRPr="00A44A6D">
        <w:rPr>
          <w:sz w:val="40"/>
          <w:szCs w:val="40"/>
        </w:rPr>
        <w:t>t</w:t>
      </w:r>
      <w:r w:rsidR="00A45951" w:rsidRPr="00A44A6D">
        <w:rPr>
          <w:sz w:val="40"/>
          <w:szCs w:val="40"/>
        </w:rPr>
        <w:t xml:space="preserve">he Permanent Missions of the Syrian Arab Republic, the People’s Democratic Republic of Algeria, the Republic of Cuba, the Democratic People’s Republic of </w:t>
      </w:r>
      <w:r w:rsidR="00A45951" w:rsidRPr="00A44A6D">
        <w:rPr>
          <w:sz w:val="40"/>
          <w:szCs w:val="40"/>
        </w:rPr>
        <w:lastRenderedPageBreak/>
        <w:t>Korea, the Arab Republic of Egypt, the Republic of Iraq, the Islamic Republic of Iran, the State of Kuwait, and the Russian Federation</w:t>
      </w:r>
      <w:r w:rsidR="00DF4F4A" w:rsidRPr="00A44A6D">
        <w:rPr>
          <w:sz w:val="40"/>
          <w:szCs w:val="40"/>
        </w:rPr>
        <w:t xml:space="preserve"> responded to the request to provide information.</w:t>
      </w:r>
    </w:p>
    <w:p w:rsidR="00E652AE" w:rsidRDefault="00E652AE" w:rsidP="002E6148">
      <w:pPr>
        <w:pStyle w:val="NormalWeb"/>
        <w:spacing w:line="360" w:lineRule="auto"/>
        <w:rPr>
          <w:sz w:val="40"/>
          <w:szCs w:val="40"/>
        </w:rPr>
      </w:pPr>
    </w:p>
    <w:p w:rsidR="00054FF0" w:rsidRPr="00A44A6D" w:rsidRDefault="00054FF0" w:rsidP="002E6148">
      <w:pPr>
        <w:pStyle w:val="NormalWeb"/>
        <w:spacing w:line="360" w:lineRule="auto"/>
        <w:rPr>
          <w:sz w:val="40"/>
          <w:szCs w:val="40"/>
        </w:rPr>
      </w:pPr>
      <w:proofErr w:type="spellStart"/>
      <w:r w:rsidRPr="00A44A6D">
        <w:rPr>
          <w:sz w:val="40"/>
          <w:szCs w:val="40"/>
        </w:rPr>
        <w:t>Excellencies</w:t>
      </w:r>
      <w:proofErr w:type="spellEnd"/>
      <w:r w:rsidRPr="00A44A6D">
        <w:rPr>
          <w:sz w:val="40"/>
          <w:szCs w:val="40"/>
        </w:rPr>
        <w:t>,</w:t>
      </w:r>
    </w:p>
    <w:p w:rsidR="00054FF0" w:rsidRPr="00A44A6D" w:rsidRDefault="00054FF0" w:rsidP="002E6148">
      <w:pPr>
        <w:spacing w:line="360" w:lineRule="auto"/>
        <w:rPr>
          <w:sz w:val="40"/>
          <w:szCs w:val="40"/>
          <w:lang w:val="en-GB"/>
        </w:rPr>
      </w:pPr>
      <w:r w:rsidRPr="00A44A6D">
        <w:rPr>
          <w:sz w:val="40"/>
          <w:szCs w:val="40"/>
          <w:lang w:val="en-GB"/>
        </w:rPr>
        <w:tab/>
      </w:r>
      <w:r w:rsidR="003F15B9" w:rsidRPr="00A44A6D">
        <w:rPr>
          <w:sz w:val="40"/>
          <w:szCs w:val="40"/>
          <w:lang w:val="en-GB"/>
        </w:rPr>
        <w:t>The</w:t>
      </w:r>
      <w:r w:rsidR="0092754C" w:rsidRPr="00A44A6D">
        <w:rPr>
          <w:sz w:val="40"/>
          <w:szCs w:val="40"/>
          <w:lang w:val="en-GB"/>
        </w:rPr>
        <w:t>se</w:t>
      </w:r>
      <w:r w:rsidR="003F15B9" w:rsidRPr="00A44A6D">
        <w:rPr>
          <w:sz w:val="40"/>
          <w:szCs w:val="40"/>
          <w:lang w:val="en-GB"/>
        </w:rPr>
        <w:t xml:space="preserve"> reports </w:t>
      </w:r>
      <w:r w:rsidRPr="00A44A6D">
        <w:rPr>
          <w:sz w:val="40"/>
          <w:szCs w:val="40"/>
          <w:lang w:val="en-GB"/>
        </w:rPr>
        <w:t xml:space="preserve">describe </w:t>
      </w:r>
      <w:r w:rsidR="006B2190" w:rsidRPr="00A44A6D">
        <w:rPr>
          <w:sz w:val="40"/>
          <w:szCs w:val="40"/>
          <w:lang w:val="en-GB"/>
        </w:rPr>
        <w:t xml:space="preserve">the persistence of human rights violations </w:t>
      </w:r>
      <w:r w:rsidRPr="00A44A6D">
        <w:rPr>
          <w:sz w:val="40"/>
          <w:szCs w:val="40"/>
          <w:lang w:val="en-GB"/>
        </w:rPr>
        <w:t xml:space="preserve">in the </w:t>
      </w:r>
      <w:r w:rsidR="00FD2269" w:rsidRPr="00A44A6D">
        <w:rPr>
          <w:sz w:val="40"/>
          <w:szCs w:val="40"/>
          <w:lang w:val="en-GB"/>
        </w:rPr>
        <w:t>O</w:t>
      </w:r>
      <w:r w:rsidRPr="00A44A6D">
        <w:rPr>
          <w:sz w:val="40"/>
          <w:szCs w:val="40"/>
          <w:lang w:val="en-GB"/>
        </w:rPr>
        <w:t xml:space="preserve">ccupied Palestinian </w:t>
      </w:r>
      <w:r w:rsidR="00FD2269" w:rsidRPr="00A44A6D">
        <w:rPr>
          <w:sz w:val="40"/>
          <w:szCs w:val="40"/>
          <w:lang w:val="en-GB"/>
        </w:rPr>
        <w:t>T</w:t>
      </w:r>
      <w:r w:rsidRPr="00A44A6D">
        <w:rPr>
          <w:sz w:val="40"/>
          <w:szCs w:val="40"/>
          <w:lang w:val="en-GB"/>
        </w:rPr>
        <w:t>erritory</w:t>
      </w:r>
      <w:r w:rsidR="00FD2269" w:rsidRPr="00A44A6D">
        <w:rPr>
          <w:sz w:val="40"/>
          <w:szCs w:val="40"/>
          <w:lang w:val="en-GB"/>
        </w:rPr>
        <w:t xml:space="preserve"> and in the occupied Syrian Golan</w:t>
      </w:r>
      <w:r w:rsidR="00764DC3" w:rsidRPr="00A44A6D">
        <w:rPr>
          <w:sz w:val="40"/>
          <w:szCs w:val="40"/>
          <w:lang w:val="en-GB"/>
        </w:rPr>
        <w:t>, with a concerning lack of accountability</w:t>
      </w:r>
      <w:r w:rsidRPr="00A44A6D">
        <w:rPr>
          <w:sz w:val="40"/>
          <w:szCs w:val="40"/>
          <w:lang w:val="en-GB"/>
        </w:rPr>
        <w:t xml:space="preserve">. </w:t>
      </w:r>
    </w:p>
    <w:p w:rsidR="00054FF0" w:rsidRPr="00A44A6D" w:rsidRDefault="00054FF0" w:rsidP="002E6148">
      <w:pPr>
        <w:spacing w:line="360" w:lineRule="auto"/>
        <w:ind w:firstLine="720"/>
        <w:rPr>
          <w:sz w:val="40"/>
          <w:szCs w:val="40"/>
          <w:lang w:val="en-GB"/>
        </w:rPr>
      </w:pPr>
    </w:p>
    <w:p w:rsidR="00311506" w:rsidRPr="00A44A6D" w:rsidRDefault="00046D53" w:rsidP="002E6148">
      <w:pPr>
        <w:spacing w:line="360" w:lineRule="auto"/>
        <w:ind w:firstLine="720"/>
        <w:rPr>
          <w:sz w:val="40"/>
          <w:szCs w:val="40"/>
          <w:lang w:val="en-GB"/>
        </w:rPr>
      </w:pPr>
      <w:r w:rsidRPr="00A44A6D">
        <w:rPr>
          <w:sz w:val="40"/>
          <w:szCs w:val="40"/>
          <w:lang w:val="en-GB"/>
        </w:rPr>
        <w:t>My</w:t>
      </w:r>
      <w:r w:rsidR="006B2190" w:rsidRPr="00A44A6D">
        <w:rPr>
          <w:sz w:val="40"/>
          <w:szCs w:val="40"/>
          <w:lang w:val="en-GB"/>
        </w:rPr>
        <w:t xml:space="preserve"> Office </w:t>
      </w:r>
      <w:r w:rsidR="00311506" w:rsidRPr="00A44A6D">
        <w:rPr>
          <w:sz w:val="40"/>
          <w:szCs w:val="40"/>
          <w:lang w:val="en-GB"/>
        </w:rPr>
        <w:t>urge</w:t>
      </w:r>
      <w:r w:rsidR="006B2190" w:rsidRPr="00A44A6D">
        <w:rPr>
          <w:sz w:val="40"/>
          <w:szCs w:val="40"/>
          <w:lang w:val="en-GB"/>
        </w:rPr>
        <w:t>s</w:t>
      </w:r>
      <w:r w:rsidR="00311506" w:rsidRPr="00A44A6D">
        <w:rPr>
          <w:sz w:val="40"/>
          <w:szCs w:val="40"/>
          <w:lang w:val="en-GB"/>
        </w:rPr>
        <w:t xml:space="preserve"> all duty-bearers to address these and other critical human rights concerns outlined in the reports.</w:t>
      </w:r>
    </w:p>
    <w:p w:rsidR="0092754C" w:rsidRPr="00A44A6D" w:rsidRDefault="0092754C" w:rsidP="002E6148">
      <w:pPr>
        <w:spacing w:line="360" w:lineRule="auto"/>
        <w:ind w:firstLine="720"/>
        <w:rPr>
          <w:sz w:val="40"/>
          <w:szCs w:val="40"/>
          <w:lang w:val="en-GB"/>
        </w:rPr>
      </w:pPr>
    </w:p>
    <w:p w:rsidR="00054FF0" w:rsidRPr="00A44A6D" w:rsidRDefault="00054FF0" w:rsidP="002E6148">
      <w:pPr>
        <w:spacing w:line="360" w:lineRule="auto"/>
        <w:ind w:firstLine="720"/>
        <w:rPr>
          <w:sz w:val="40"/>
          <w:szCs w:val="40"/>
          <w:lang w:val="en-GB"/>
        </w:rPr>
      </w:pPr>
      <w:r w:rsidRPr="00A44A6D">
        <w:rPr>
          <w:sz w:val="40"/>
          <w:szCs w:val="40"/>
          <w:lang w:val="en-GB"/>
        </w:rPr>
        <w:t>Thank you</w:t>
      </w:r>
      <w:r w:rsidR="00F86174" w:rsidRPr="00A44A6D">
        <w:rPr>
          <w:sz w:val="40"/>
          <w:szCs w:val="40"/>
          <w:lang w:val="en-GB"/>
        </w:rPr>
        <w:t xml:space="preserve"> very much</w:t>
      </w:r>
      <w:r w:rsidRPr="00A44A6D">
        <w:rPr>
          <w:sz w:val="40"/>
          <w:szCs w:val="40"/>
          <w:lang w:val="en-GB"/>
        </w:rPr>
        <w:t>.</w:t>
      </w:r>
    </w:p>
    <w:p w:rsidR="0028616D" w:rsidRPr="00A44A6D" w:rsidRDefault="0028616D" w:rsidP="002E6148">
      <w:pPr>
        <w:spacing w:line="360" w:lineRule="auto"/>
        <w:ind w:firstLine="720"/>
        <w:rPr>
          <w:sz w:val="40"/>
          <w:szCs w:val="40"/>
          <w:lang w:val="en-GB"/>
        </w:rPr>
      </w:pPr>
    </w:p>
    <w:sectPr w:rsidR="0028616D" w:rsidRPr="00A44A6D" w:rsidSect="004D12E5">
      <w:head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8621" w16cex:dateUtc="2021-03-11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E11797" w16cid:durableId="23F484CD"/>
  <w16cid:commentId w16cid:paraId="557F11E5" w16cid:durableId="23F484CE"/>
  <w16cid:commentId w16cid:paraId="183E240F" w16cid:durableId="23F48621"/>
  <w16cid:commentId w16cid:paraId="6B75317C" w16cid:durableId="23C6C4CE"/>
  <w16cid:commentId w16cid:paraId="27D0CF9E" w16cid:durableId="23F484D0"/>
  <w16cid:commentId w16cid:paraId="45C230EE" w16cid:durableId="23F484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85" w:rsidRDefault="004F0585" w:rsidP="00054FF0">
      <w:r>
        <w:separator/>
      </w:r>
    </w:p>
  </w:endnote>
  <w:endnote w:type="continuationSeparator" w:id="0">
    <w:p w:rsidR="004F0585" w:rsidRDefault="004F0585" w:rsidP="000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85" w:rsidRDefault="004F0585" w:rsidP="00054FF0">
      <w:r>
        <w:separator/>
      </w:r>
    </w:p>
  </w:footnote>
  <w:footnote w:type="continuationSeparator" w:id="0">
    <w:p w:rsidR="004F0585" w:rsidRDefault="004F0585" w:rsidP="0005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844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0FA" w:rsidRDefault="00BE60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7A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E60FA" w:rsidRDefault="00BE6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51B5"/>
    <w:multiLevelType w:val="hybridMultilevel"/>
    <w:tmpl w:val="CF4C1490"/>
    <w:lvl w:ilvl="0" w:tplc="BFC44C1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B59BB"/>
    <w:multiLevelType w:val="hybridMultilevel"/>
    <w:tmpl w:val="851E52BC"/>
    <w:lvl w:ilvl="0" w:tplc="ADDE8D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99"/>
    <w:rsid w:val="0000522F"/>
    <w:rsid w:val="00022C32"/>
    <w:rsid w:val="000333EC"/>
    <w:rsid w:val="00037B2C"/>
    <w:rsid w:val="000403BE"/>
    <w:rsid w:val="00046D53"/>
    <w:rsid w:val="00052DBC"/>
    <w:rsid w:val="000547A8"/>
    <w:rsid w:val="00054FF0"/>
    <w:rsid w:val="00061C34"/>
    <w:rsid w:val="000B2707"/>
    <w:rsid w:val="000B281D"/>
    <w:rsid w:val="000B45F0"/>
    <w:rsid w:val="000B7F95"/>
    <w:rsid w:val="000E3247"/>
    <w:rsid w:val="000F5F17"/>
    <w:rsid w:val="00130565"/>
    <w:rsid w:val="00140AB0"/>
    <w:rsid w:val="00143652"/>
    <w:rsid w:val="00154F0B"/>
    <w:rsid w:val="00172B4D"/>
    <w:rsid w:val="00186A55"/>
    <w:rsid w:val="001953E0"/>
    <w:rsid w:val="001A0622"/>
    <w:rsid w:val="001A12FB"/>
    <w:rsid w:val="001A76B7"/>
    <w:rsid w:val="001C6B90"/>
    <w:rsid w:val="001D2B33"/>
    <w:rsid w:val="001D38D1"/>
    <w:rsid w:val="001D691C"/>
    <w:rsid w:val="001E563C"/>
    <w:rsid w:val="00205284"/>
    <w:rsid w:val="002111CF"/>
    <w:rsid w:val="00211C60"/>
    <w:rsid w:val="00215517"/>
    <w:rsid w:val="002244B5"/>
    <w:rsid w:val="002277D1"/>
    <w:rsid w:val="0027670C"/>
    <w:rsid w:val="0028571A"/>
    <w:rsid w:val="0028616D"/>
    <w:rsid w:val="002B2449"/>
    <w:rsid w:val="002C24EC"/>
    <w:rsid w:val="002C61D9"/>
    <w:rsid w:val="002D795A"/>
    <w:rsid w:val="002E6148"/>
    <w:rsid w:val="002F70C3"/>
    <w:rsid w:val="0030013C"/>
    <w:rsid w:val="00307A5C"/>
    <w:rsid w:val="00311506"/>
    <w:rsid w:val="0033478A"/>
    <w:rsid w:val="00334BDA"/>
    <w:rsid w:val="00337CD8"/>
    <w:rsid w:val="00351A3B"/>
    <w:rsid w:val="00357A3B"/>
    <w:rsid w:val="00377EE3"/>
    <w:rsid w:val="00380386"/>
    <w:rsid w:val="00380C28"/>
    <w:rsid w:val="003858E8"/>
    <w:rsid w:val="00391BFB"/>
    <w:rsid w:val="003A7837"/>
    <w:rsid w:val="003B23B2"/>
    <w:rsid w:val="003C4EF1"/>
    <w:rsid w:val="003D58BF"/>
    <w:rsid w:val="003E46D7"/>
    <w:rsid w:val="003E7E07"/>
    <w:rsid w:val="003F15B9"/>
    <w:rsid w:val="003F2A56"/>
    <w:rsid w:val="003F2A69"/>
    <w:rsid w:val="003F4322"/>
    <w:rsid w:val="00400537"/>
    <w:rsid w:val="00410512"/>
    <w:rsid w:val="00412965"/>
    <w:rsid w:val="004171FD"/>
    <w:rsid w:val="00425005"/>
    <w:rsid w:val="0042696A"/>
    <w:rsid w:val="00435749"/>
    <w:rsid w:val="0044363B"/>
    <w:rsid w:val="00456587"/>
    <w:rsid w:val="0046409E"/>
    <w:rsid w:val="00480812"/>
    <w:rsid w:val="0048339C"/>
    <w:rsid w:val="004D12E5"/>
    <w:rsid w:val="004F0585"/>
    <w:rsid w:val="00530761"/>
    <w:rsid w:val="00533153"/>
    <w:rsid w:val="0054642E"/>
    <w:rsid w:val="00556607"/>
    <w:rsid w:val="005705AA"/>
    <w:rsid w:val="005753FB"/>
    <w:rsid w:val="005875D6"/>
    <w:rsid w:val="005A66FB"/>
    <w:rsid w:val="005B3022"/>
    <w:rsid w:val="005B5244"/>
    <w:rsid w:val="005C1627"/>
    <w:rsid w:val="005C6E37"/>
    <w:rsid w:val="005D2604"/>
    <w:rsid w:val="005D2C62"/>
    <w:rsid w:val="005D4114"/>
    <w:rsid w:val="005D4F69"/>
    <w:rsid w:val="005D6C50"/>
    <w:rsid w:val="005F3742"/>
    <w:rsid w:val="00631726"/>
    <w:rsid w:val="00637E5B"/>
    <w:rsid w:val="00641A59"/>
    <w:rsid w:val="00641B14"/>
    <w:rsid w:val="006476F5"/>
    <w:rsid w:val="006527A4"/>
    <w:rsid w:val="00656BDD"/>
    <w:rsid w:val="00672124"/>
    <w:rsid w:val="0068180F"/>
    <w:rsid w:val="00692FDE"/>
    <w:rsid w:val="0069384A"/>
    <w:rsid w:val="006A2BE0"/>
    <w:rsid w:val="006A62DB"/>
    <w:rsid w:val="006A6923"/>
    <w:rsid w:val="006B2190"/>
    <w:rsid w:val="006C29B0"/>
    <w:rsid w:val="006D4699"/>
    <w:rsid w:val="006D64FB"/>
    <w:rsid w:val="006E3553"/>
    <w:rsid w:val="006E702F"/>
    <w:rsid w:val="006F3B46"/>
    <w:rsid w:val="007156A0"/>
    <w:rsid w:val="00715D12"/>
    <w:rsid w:val="0072412E"/>
    <w:rsid w:val="00741278"/>
    <w:rsid w:val="007533CA"/>
    <w:rsid w:val="0075626C"/>
    <w:rsid w:val="00756C03"/>
    <w:rsid w:val="00764DC3"/>
    <w:rsid w:val="00770113"/>
    <w:rsid w:val="00782C49"/>
    <w:rsid w:val="00785F4C"/>
    <w:rsid w:val="007A2880"/>
    <w:rsid w:val="007A398B"/>
    <w:rsid w:val="007B52F2"/>
    <w:rsid w:val="007B706E"/>
    <w:rsid w:val="007C05B7"/>
    <w:rsid w:val="007C186A"/>
    <w:rsid w:val="007E49F1"/>
    <w:rsid w:val="00800FDE"/>
    <w:rsid w:val="00805E2F"/>
    <w:rsid w:val="008159FB"/>
    <w:rsid w:val="0082000A"/>
    <w:rsid w:val="00824B15"/>
    <w:rsid w:val="008354AE"/>
    <w:rsid w:val="008456E6"/>
    <w:rsid w:val="00850FCA"/>
    <w:rsid w:val="008613D3"/>
    <w:rsid w:val="008772CF"/>
    <w:rsid w:val="00887F89"/>
    <w:rsid w:val="008903C2"/>
    <w:rsid w:val="008A1C88"/>
    <w:rsid w:val="008A6B5D"/>
    <w:rsid w:val="008B19DA"/>
    <w:rsid w:val="008C4A04"/>
    <w:rsid w:val="008C7A8E"/>
    <w:rsid w:val="008D2CA3"/>
    <w:rsid w:val="0090146D"/>
    <w:rsid w:val="009150C7"/>
    <w:rsid w:val="00917206"/>
    <w:rsid w:val="00920FFC"/>
    <w:rsid w:val="00926CC9"/>
    <w:rsid w:val="0092754C"/>
    <w:rsid w:val="00930A23"/>
    <w:rsid w:val="00943C85"/>
    <w:rsid w:val="00956D70"/>
    <w:rsid w:val="009825FE"/>
    <w:rsid w:val="0099278A"/>
    <w:rsid w:val="00995727"/>
    <w:rsid w:val="009A15FA"/>
    <w:rsid w:val="009B0D34"/>
    <w:rsid w:val="009C1760"/>
    <w:rsid w:val="009C1B1E"/>
    <w:rsid w:val="009F363A"/>
    <w:rsid w:val="00A23968"/>
    <w:rsid w:val="00A356ED"/>
    <w:rsid w:val="00A3640F"/>
    <w:rsid w:val="00A4430A"/>
    <w:rsid w:val="00A44A6D"/>
    <w:rsid w:val="00A45951"/>
    <w:rsid w:val="00A5382C"/>
    <w:rsid w:val="00A53CD9"/>
    <w:rsid w:val="00A61F6B"/>
    <w:rsid w:val="00A75C62"/>
    <w:rsid w:val="00A80712"/>
    <w:rsid w:val="00A87D53"/>
    <w:rsid w:val="00A92FA7"/>
    <w:rsid w:val="00AA15D9"/>
    <w:rsid w:val="00AB61F0"/>
    <w:rsid w:val="00AC3F94"/>
    <w:rsid w:val="00AF04A7"/>
    <w:rsid w:val="00B0078C"/>
    <w:rsid w:val="00B0595E"/>
    <w:rsid w:val="00B15BE5"/>
    <w:rsid w:val="00B26DC5"/>
    <w:rsid w:val="00B3127B"/>
    <w:rsid w:val="00B365B0"/>
    <w:rsid w:val="00B55304"/>
    <w:rsid w:val="00B6733D"/>
    <w:rsid w:val="00BA59A7"/>
    <w:rsid w:val="00BA7530"/>
    <w:rsid w:val="00BC20BE"/>
    <w:rsid w:val="00BC2687"/>
    <w:rsid w:val="00BD5623"/>
    <w:rsid w:val="00BE60FA"/>
    <w:rsid w:val="00BE7236"/>
    <w:rsid w:val="00BF0848"/>
    <w:rsid w:val="00C02075"/>
    <w:rsid w:val="00C14904"/>
    <w:rsid w:val="00C32FFB"/>
    <w:rsid w:val="00C47312"/>
    <w:rsid w:val="00C55444"/>
    <w:rsid w:val="00C601FC"/>
    <w:rsid w:val="00C6029A"/>
    <w:rsid w:val="00C64C42"/>
    <w:rsid w:val="00C81252"/>
    <w:rsid w:val="00C8711E"/>
    <w:rsid w:val="00C87C5C"/>
    <w:rsid w:val="00C9039E"/>
    <w:rsid w:val="00CB0A54"/>
    <w:rsid w:val="00CB1ACE"/>
    <w:rsid w:val="00CB5A18"/>
    <w:rsid w:val="00CB6F3C"/>
    <w:rsid w:val="00CF1A05"/>
    <w:rsid w:val="00D04253"/>
    <w:rsid w:val="00D112E1"/>
    <w:rsid w:val="00D25CB1"/>
    <w:rsid w:val="00D3119B"/>
    <w:rsid w:val="00D33238"/>
    <w:rsid w:val="00D669AF"/>
    <w:rsid w:val="00D8102B"/>
    <w:rsid w:val="00D81A4E"/>
    <w:rsid w:val="00D9171A"/>
    <w:rsid w:val="00DA6E32"/>
    <w:rsid w:val="00DB6FFB"/>
    <w:rsid w:val="00DC13FB"/>
    <w:rsid w:val="00DC1EB1"/>
    <w:rsid w:val="00DC5DAC"/>
    <w:rsid w:val="00DE24B4"/>
    <w:rsid w:val="00DF4F4A"/>
    <w:rsid w:val="00E014DF"/>
    <w:rsid w:val="00E10450"/>
    <w:rsid w:val="00E130BA"/>
    <w:rsid w:val="00E652AE"/>
    <w:rsid w:val="00E65FD6"/>
    <w:rsid w:val="00E6709F"/>
    <w:rsid w:val="00E94595"/>
    <w:rsid w:val="00EB00EF"/>
    <w:rsid w:val="00EB1110"/>
    <w:rsid w:val="00EB139A"/>
    <w:rsid w:val="00EC0F4E"/>
    <w:rsid w:val="00EC56BF"/>
    <w:rsid w:val="00EE45DF"/>
    <w:rsid w:val="00EF3F1C"/>
    <w:rsid w:val="00F0323B"/>
    <w:rsid w:val="00F06846"/>
    <w:rsid w:val="00F309AA"/>
    <w:rsid w:val="00F315DD"/>
    <w:rsid w:val="00F54416"/>
    <w:rsid w:val="00F756DE"/>
    <w:rsid w:val="00F86174"/>
    <w:rsid w:val="00F91488"/>
    <w:rsid w:val="00F9160F"/>
    <w:rsid w:val="00FA4CBE"/>
    <w:rsid w:val="00FA5618"/>
    <w:rsid w:val="00FC04E5"/>
    <w:rsid w:val="00FD2269"/>
    <w:rsid w:val="00FD65A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42232-E7AF-4D59-9BDD-4B7A24A3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58E8"/>
    <w:pPr>
      <w:keepNext/>
      <w:spacing w:after="240"/>
      <w:jc w:val="center"/>
      <w:outlineLvl w:val="1"/>
    </w:pPr>
    <w:rPr>
      <w:rFonts w:eastAsia="Times New Roman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637E5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37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E5B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5B"/>
    <w:rPr>
      <w:rFonts w:ascii="Segoe UI" w:eastAsia="SimSun" w:hAnsi="Segoe UI" w:cs="Segoe UI"/>
      <w:sz w:val="18"/>
      <w:szCs w:val="18"/>
      <w:lang w:val="en-US" w:eastAsia="zh-CN"/>
    </w:rPr>
  </w:style>
  <w:style w:type="paragraph" w:styleId="FootnoteText">
    <w:name w:val="footnote text"/>
    <w:aliases w:val="5_G,Sharp - Footnote Text,Footnote Text - Sharp Char Char,Footnote Text - Sharp Char,single space,footnote text,Char, Char Char Char Char Char Char, Char Char Char Char,Footnote Text Char1 Char, Char Char2, Char Char Char Char1,fn,Char Cha"/>
    <w:basedOn w:val="Normal"/>
    <w:link w:val="FootnoteTextChar"/>
    <w:uiPriority w:val="99"/>
    <w:qFormat/>
    <w:rsid w:val="00054FF0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HAnsi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,Sharp - Footnote Text Char,Footnote Text - Sharp Char Char Char,Footnote Text - Sharp Char Char1,single space Char,footnote text Char,Char Char, Char Char Char Char Char Char Char, Char Char Char Char Char, Char Char2 Char"/>
    <w:basedOn w:val="DefaultParagraphFont"/>
    <w:link w:val="FootnoteText"/>
    <w:uiPriority w:val="99"/>
    <w:rsid w:val="00054FF0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,ftref,a Footnote Reference,FZ,Appel note de bas de page,Footnotes refss,Footnote number,BVI fnr (文字) (文字) Char (文字) Char Char1 Char Char Char Char Char Char Char1 Char Char Char1 Char Char,Footnote Ref,16 Point,Superscript 6 Point"/>
    <w:link w:val="CharChar1CharCharCharChar1CharCharCharCharCharCharCharCharCharCharCharCharCharCharCharChar"/>
    <w:qFormat/>
    <w:rsid w:val="00054FF0"/>
    <w:rPr>
      <w:rFonts w:ascii="Times New Roman" w:hAnsi="Times New Roman"/>
      <w:sz w:val="18"/>
      <w:vertAlign w:val="superscript"/>
    </w:rPr>
  </w:style>
  <w:style w:type="character" w:customStyle="1" w:styleId="lblnewsfulltext">
    <w:name w:val="lblnewsfulltext"/>
    <w:basedOn w:val="DefaultParagraphFont"/>
    <w:rsid w:val="00E014DF"/>
  </w:style>
  <w:style w:type="paragraph" w:styleId="NormalWeb">
    <w:name w:val="Normal (Web)"/>
    <w:basedOn w:val="Normal"/>
    <w:uiPriority w:val="99"/>
    <w:unhideWhenUsed/>
    <w:rsid w:val="005D2C6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68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858E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aliases w:val="6_G"/>
    <w:basedOn w:val="Normal"/>
    <w:next w:val="Normal"/>
    <w:link w:val="HeaderChar"/>
    <w:uiPriority w:val="99"/>
    <w:unhideWhenUsed/>
    <w:qFormat/>
    <w:rsid w:val="003858E8"/>
    <w:pPr>
      <w:tabs>
        <w:tab w:val="center" w:pos="4320"/>
        <w:tab w:val="right" w:pos="8640"/>
      </w:tabs>
      <w:spacing w:after="240"/>
    </w:pPr>
    <w:rPr>
      <w:rFonts w:eastAsia="Times New Roman"/>
      <w:szCs w:val="20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858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5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customStyle="1" w:styleId="SingleTxtG">
    <w:name w:val="_ Single Txt_G"/>
    <w:basedOn w:val="Normal"/>
    <w:link w:val="SingleTxtGChar"/>
    <w:qFormat/>
    <w:rsid w:val="002F70C3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2F70C3"/>
    <w:rPr>
      <w:rFonts w:ascii="Times New Roman" w:hAnsi="Times New Roman" w:cs="Times New Roman"/>
      <w:sz w:val="20"/>
      <w:szCs w:val="20"/>
    </w:rPr>
  </w:style>
  <w:style w:type="paragraph" w:customStyle="1" w:styleId="H1G">
    <w:name w:val="_ H_1_G"/>
    <w:basedOn w:val="Normal"/>
    <w:next w:val="Normal"/>
    <w:qFormat/>
    <w:rsid w:val="002F70C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HAnsi"/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qFormat/>
    <w:rsid w:val="002F70C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b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2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5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harChar1CharCharCharChar1CharCharCharCharCharCharCharCharCharCharCharCharCharCharCharChar">
    <w:name w:val="Char Char1 Char Char Char Char1 Char Char Char Char Char Char Char Char Char Char Char Char (文字) Char Char Char Char"/>
    <w:aliases w:val="Char Char Char Char1 Char Char (文字) Char Char Char Char"/>
    <w:basedOn w:val="Normal"/>
    <w:next w:val="Normal"/>
    <w:link w:val="FootnoteReference"/>
    <w:uiPriority w:val="99"/>
    <w:qFormat/>
    <w:rsid w:val="00CB6F3C"/>
    <w:pPr>
      <w:spacing w:after="160" w:line="240" w:lineRule="exact"/>
    </w:pPr>
    <w:rPr>
      <w:rFonts w:eastAsiaTheme="minorHAnsi" w:cstheme="minorBidi"/>
      <w:sz w:val="18"/>
      <w:szCs w:val="22"/>
      <w:vertAlign w:val="superscript"/>
      <w:lang w:val="en-GB" w:eastAsia="en-US"/>
    </w:rPr>
  </w:style>
  <w:style w:type="character" w:styleId="Hyperlink">
    <w:name w:val="Hyperlink"/>
    <w:semiHidden/>
    <w:rsid w:val="00CB0A54"/>
    <w:rPr>
      <w:color w:val="auto"/>
      <w:u w:val="none"/>
    </w:rPr>
  </w:style>
  <w:style w:type="paragraph" w:styleId="Revision">
    <w:name w:val="Revision"/>
    <w:hidden/>
    <w:uiPriority w:val="99"/>
    <w:semiHidden/>
    <w:rsid w:val="002111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FB0A-1554-4B41-AE2C-3DE4F6909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394B7-68AF-4194-A86B-8AEEE3A52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81B48D-A09F-4FD8-AF8E-4C9F88BE5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AB0E9-F7F8-4A66-87C5-7CB9F68A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Mena Intern4</dc:creator>
  <cp:keywords/>
  <dc:description/>
  <cp:lastModifiedBy>Sarah Willig</cp:lastModifiedBy>
  <cp:revision>2</cp:revision>
  <cp:lastPrinted>2021-03-18T12:10:00Z</cp:lastPrinted>
  <dcterms:created xsi:type="dcterms:W3CDTF">2021-03-18T20:22:00Z</dcterms:created>
  <dcterms:modified xsi:type="dcterms:W3CDTF">2021-03-18T20:22:00Z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