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032B3" w14:textId="77777777" w:rsidR="00FD3E7F" w:rsidRPr="00FD3E7F" w:rsidRDefault="00FD3E7F" w:rsidP="00FD3E7F">
      <w:pPr>
        <w:shd w:val="clear" w:color="auto" w:fill="FFFFFF"/>
        <w:spacing w:after="180" w:line="330" w:lineRule="atLeast"/>
        <w:jc w:val="left"/>
        <w:outlineLvl w:val="1"/>
        <w:rPr>
          <w:rFonts w:ascii="Times New Roman" w:eastAsia="Times New Roman" w:hAnsi="Times New Roman" w:cs="Times New Roman"/>
          <w:spacing w:val="-12"/>
          <w:sz w:val="44"/>
          <w:szCs w:val="44"/>
        </w:rPr>
      </w:pPr>
      <w:r w:rsidRPr="00FD3E7F">
        <w:rPr>
          <w:rFonts w:ascii="Times New Roman" w:eastAsia="Times New Roman" w:hAnsi="Times New Roman" w:cs="Times New Roman"/>
          <w:spacing w:val="-12"/>
          <w:sz w:val="44"/>
          <w:szCs w:val="44"/>
        </w:rPr>
        <w:t>Parameters for a Joint Comprehensive Plan of Action Regarding the Islamic Republic of Iran's Nuclear Program</w:t>
      </w:r>
    </w:p>
    <w:p w14:paraId="3915D3B8" w14:textId="77777777" w:rsidR="00FD3E7F" w:rsidRPr="00FD3E7F" w:rsidRDefault="00FD3E7F" w:rsidP="00FD3E7F">
      <w:pPr>
        <w:shd w:val="clear" w:color="auto" w:fill="FFFFFF"/>
        <w:spacing w:after="0"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bCs/>
          <w:sz w:val="24"/>
          <w:szCs w:val="24"/>
        </w:rPr>
        <w:t>April 2, 2015</w:t>
      </w:r>
    </w:p>
    <w:p w14:paraId="156819C1" w14:textId="77777777" w:rsidR="00FD3E7F" w:rsidRPr="00FD3E7F" w:rsidRDefault="00FD3E7F" w:rsidP="00FD3E7F">
      <w:pPr>
        <w:shd w:val="clear" w:color="auto" w:fill="FFFFFF"/>
        <w:spacing w:after="0"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bCs/>
          <w:sz w:val="24"/>
          <w:szCs w:val="24"/>
        </w:rPr>
        <w:t>Media Note</w:t>
      </w:r>
      <w:bookmarkStart w:id="0" w:name="_GoBack"/>
      <w:bookmarkEnd w:id="0"/>
    </w:p>
    <w:p w14:paraId="55B0C7C5" w14:textId="77777777" w:rsidR="00FD3E7F" w:rsidRPr="00FD3E7F" w:rsidRDefault="00FD3E7F" w:rsidP="00FD3E7F">
      <w:pPr>
        <w:shd w:val="clear" w:color="auto" w:fill="FFFFFF"/>
        <w:spacing w:after="0"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bCs/>
          <w:sz w:val="24"/>
          <w:szCs w:val="24"/>
        </w:rPr>
        <w:t>Office of the Spokesperson</w:t>
      </w:r>
    </w:p>
    <w:p w14:paraId="79ECB56B" w14:textId="77777777" w:rsidR="00FD3E7F" w:rsidRPr="00FD3E7F" w:rsidRDefault="00FD3E7F" w:rsidP="00FD3E7F">
      <w:pPr>
        <w:shd w:val="clear" w:color="auto" w:fill="FFFFFF"/>
        <w:spacing w:after="0" w:line="300" w:lineRule="atLeast"/>
        <w:jc w:val="left"/>
        <w:rPr>
          <w:rFonts w:ascii="Times New Roman" w:eastAsia="Times New Roman" w:hAnsi="Times New Roman" w:cs="Times New Roman"/>
          <w:bCs/>
          <w:sz w:val="24"/>
          <w:szCs w:val="24"/>
        </w:rPr>
      </w:pPr>
      <w:r w:rsidRPr="00FD3E7F">
        <w:rPr>
          <w:rFonts w:ascii="Times New Roman" w:eastAsia="Times New Roman" w:hAnsi="Times New Roman" w:cs="Times New Roman"/>
          <w:bCs/>
          <w:sz w:val="24"/>
          <w:szCs w:val="24"/>
        </w:rPr>
        <w:t>Washington, DC</w:t>
      </w:r>
    </w:p>
    <w:p w14:paraId="08F8B672" w14:textId="77777777" w:rsidR="00FD3E7F" w:rsidRPr="00FD3E7F" w:rsidRDefault="00FD3E7F" w:rsidP="00FD3E7F">
      <w:pPr>
        <w:shd w:val="clear" w:color="auto" w:fill="FFFFFF"/>
        <w:spacing w:after="0"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http://www.state.gov/r/pa/prs/ps/2015/04/240170.htm</w:t>
      </w:r>
    </w:p>
    <w:p w14:paraId="487BEE88" w14:textId="77777777" w:rsidR="00FD3E7F" w:rsidRDefault="00FD3E7F" w:rsidP="00FD3E7F">
      <w:pPr>
        <w:shd w:val="clear" w:color="auto" w:fill="FFFFFF"/>
        <w:spacing w:after="0" w:line="300" w:lineRule="atLeast"/>
        <w:jc w:val="left"/>
        <w:rPr>
          <w:rFonts w:ascii="Times New Roman" w:eastAsia="Times New Roman" w:hAnsi="Times New Roman" w:cs="Times New Roman"/>
          <w:b/>
          <w:bCs/>
          <w:sz w:val="24"/>
          <w:szCs w:val="24"/>
        </w:rPr>
      </w:pPr>
    </w:p>
    <w:p w14:paraId="557ABD4F" w14:textId="77777777" w:rsidR="00FD3E7F" w:rsidRPr="00FD3E7F" w:rsidRDefault="00FD3E7F" w:rsidP="00FD3E7F">
      <w:pPr>
        <w:shd w:val="clear" w:color="auto" w:fill="FFFFFF"/>
        <w:spacing w:after="0" w:line="300" w:lineRule="atLeast"/>
        <w:jc w:val="left"/>
        <w:rPr>
          <w:rFonts w:ascii="Times New Roman" w:eastAsia="Times New Roman" w:hAnsi="Times New Roman" w:cs="Times New Roman"/>
          <w:b/>
          <w:bCs/>
          <w:sz w:val="24"/>
          <w:szCs w:val="24"/>
        </w:rPr>
      </w:pPr>
    </w:p>
    <w:p w14:paraId="60BD5ABC" w14:textId="77777777" w:rsidR="00FD3E7F" w:rsidRPr="00FD3E7F" w:rsidRDefault="00FD3E7F" w:rsidP="00FD3E7F">
      <w:pPr>
        <w:shd w:val="clear" w:color="auto" w:fill="FFFFFF"/>
        <w:spacing w:after="0"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br/>
        <w:t xml:space="preserve">Below are the key parameters of a Joint Comprehensive Plan of Action (JCPOA) regarding the Islamic Republic of Iran’s nuclear program that were decided in Lausanne, </w:t>
      </w:r>
      <w:proofErr w:type="gramStart"/>
      <w:r w:rsidRPr="00FD3E7F">
        <w:rPr>
          <w:rFonts w:ascii="Times New Roman" w:eastAsia="Times New Roman" w:hAnsi="Times New Roman" w:cs="Times New Roman"/>
          <w:sz w:val="24"/>
          <w:szCs w:val="24"/>
        </w:rPr>
        <w:t>Switzerland.</w:t>
      </w:r>
      <w:proofErr w:type="gramEnd"/>
      <w:r w:rsidRPr="00FD3E7F">
        <w:rPr>
          <w:rFonts w:ascii="Times New Roman" w:eastAsia="Times New Roman" w:hAnsi="Times New Roman" w:cs="Times New Roman"/>
          <w:sz w:val="24"/>
          <w:szCs w:val="24"/>
        </w:rPr>
        <w:t xml:space="preserve"> These elements form the foundation upon which the final text of the JCPOA will be written between now and June 30, and reflect the significant progress that has been made in discussions between the P5+1, the European Union, and Iran. Important implementation details are still subject to negotiation, and nothing is agreed until everything is agreed. We will work to conclude the JCPOA based on these parameters over the coming months.</w:t>
      </w:r>
    </w:p>
    <w:p w14:paraId="5B4ED2BC" w14:textId="77777777" w:rsidR="00FD3E7F" w:rsidRPr="00FD3E7F" w:rsidRDefault="00FD3E7F" w:rsidP="00FD3E7F">
      <w:pPr>
        <w:shd w:val="clear" w:color="auto" w:fill="FFFFFF"/>
        <w:spacing w:before="100" w:beforeAutospacing="1" w:after="100" w:afterAutospacing="1"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b/>
          <w:bCs/>
          <w:sz w:val="24"/>
          <w:szCs w:val="24"/>
        </w:rPr>
        <w:t>Enrichment</w:t>
      </w:r>
    </w:p>
    <w:p w14:paraId="79F75A79" w14:textId="77777777" w:rsidR="00FD3E7F" w:rsidRPr="00FD3E7F" w:rsidRDefault="00FD3E7F" w:rsidP="00FD3E7F">
      <w:pPr>
        <w:numPr>
          <w:ilvl w:val="0"/>
          <w:numId w:val="1"/>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has agreed to reduce by approximately two-thirds its installed centrifuges. Iran will go from having about 19,000 installed today to 6,104 installed under the deal, with only 5,060 of these enriching uranium for 10 years. All 6,104 centrifuges will be IR-1s, Iran’s first-generation centrifuge.</w:t>
      </w:r>
      <w:r w:rsidRPr="00FD3E7F">
        <w:rPr>
          <w:rFonts w:ascii="Times New Roman" w:eastAsia="Times New Roman" w:hAnsi="Times New Roman" w:cs="Times New Roman"/>
          <w:sz w:val="24"/>
          <w:szCs w:val="24"/>
        </w:rPr>
        <w:br/>
        <w:t> </w:t>
      </w:r>
    </w:p>
    <w:p w14:paraId="2156CE8B" w14:textId="77777777" w:rsidR="00FD3E7F" w:rsidRPr="00FD3E7F" w:rsidRDefault="00FD3E7F" w:rsidP="00FD3E7F">
      <w:pPr>
        <w:numPr>
          <w:ilvl w:val="0"/>
          <w:numId w:val="1"/>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has agreed to not enrich uranium over 3.67 percent for at least 15 years.</w:t>
      </w:r>
      <w:r w:rsidRPr="00FD3E7F">
        <w:rPr>
          <w:rFonts w:ascii="Times New Roman" w:eastAsia="Times New Roman" w:hAnsi="Times New Roman" w:cs="Times New Roman"/>
          <w:sz w:val="24"/>
          <w:szCs w:val="24"/>
        </w:rPr>
        <w:br/>
        <w:t> </w:t>
      </w:r>
    </w:p>
    <w:p w14:paraId="1A3E6445" w14:textId="77777777" w:rsidR="00FD3E7F" w:rsidRPr="00FD3E7F" w:rsidRDefault="00FD3E7F" w:rsidP="00FD3E7F">
      <w:pPr>
        <w:numPr>
          <w:ilvl w:val="0"/>
          <w:numId w:val="1"/>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has agreed to reduce its current stockpile of about 10,000 kg of low-enriched uranium (LEU) to 300 kg of 3.67 percent LEU for 15 years.</w:t>
      </w:r>
      <w:r w:rsidRPr="00FD3E7F">
        <w:rPr>
          <w:rFonts w:ascii="Times New Roman" w:eastAsia="Times New Roman" w:hAnsi="Times New Roman" w:cs="Times New Roman"/>
          <w:sz w:val="24"/>
          <w:szCs w:val="24"/>
        </w:rPr>
        <w:br/>
        <w:t> </w:t>
      </w:r>
    </w:p>
    <w:p w14:paraId="66996043" w14:textId="77777777" w:rsidR="00FD3E7F" w:rsidRPr="00FD3E7F" w:rsidRDefault="00FD3E7F" w:rsidP="00FD3E7F">
      <w:pPr>
        <w:numPr>
          <w:ilvl w:val="0"/>
          <w:numId w:val="1"/>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All excess centrifuges and enrichment infrastructure will be placed in IAEA monitored storage and will be used only as replacements for operating centrifuges and equipment.</w:t>
      </w:r>
      <w:r w:rsidRPr="00FD3E7F">
        <w:rPr>
          <w:rFonts w:ascii="Times New Roman" w:eastAsia="Times New Roman" w:hAnsi="Times New Roman" w:cs="Times New Roman"/>
          <w:sz w:val="24"/>
          <w:szCs w:val="24"/>
        </w:rPr>
        <w:br/>
        <w:t> </w:t>
      </w:r>
    </w:p>
    <w:p w14:paraId="250EE932" w14:textId="77777777" w:rsidR="00FD3E7F" w:rsidRPr="00FD3E7F" w:rsidRDefault="00FD3E7F" w:rsidP="00FD3E7F">
      <w:pPr>
        <w:numPr>
          <w:ilvl w:val="0"/>
          <w:numId w:val="1"/>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has agreed to not build any new facilities for the purpose of enriching uranium for 15 years.</w:t>
      </w:r>
      <w:r w:rsidRPr="00FD3E7F">
        <w:rPr>
          <w:rFonts w:ascii="Times New Roman" w:eastAsia="Times New Roman" w:hAnsi="Times New Roman" w:cs="Times New Roman"/>
          <w:sz w:val="24"/>
          <w:szCs w:val="24"/>
        </w:rPr>
        <w:br/>
        <w:t> </w:t>
      </w:r>
    </w:p>
    <w:p w14:paraId="4814EA7F" w14:textId="77777777" w:rsidR="00FD3E7F" w:rsidRPr="00FD3E7F" w:rsidRDefault="00FD3E7F" w:rsidP="00FD3E7F">
      <w:pPr>
        <w:numPr>
          <w:ilvl w:val="0"/>
          <w:numId w:val="1"/>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Iran’s breakout timeline – the time that it would take for Iran to acquire enough fissile material for one weapon – is currently assessed to be 2 to 3 months. That timeline will be extended to at least one year, for a duration of at least ten years, under this framework.</w:t>
      </w:r>
    </w:p>
    <w:p w14:paraId="6574E0FA" w14:textId="77777777" w:rsidR="00FD3E7F" w:rsidRPr="00FD3E7F" w:rsidRDefault="00FD3E7F" w:rsidP="00FD3E7F">
      <w:pPr>
        <w:shd w:val="clear" w:color="auto" w:fill="FFFFFF"/>
        <w:spacing w:before="100" w:beforeAutospacing="1" w:after="100" w:afterAutospacing="1"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b/>
          <w:bCs/>
          <w:sz w:val="24"/>
          <w:szCs w:val="24"/>
        </w:rPr>
        <w:t xml:space="preserve">Iran will convert its facility at </w:t>
      </w:r>
      <w:proofErr w:type="spellStart"/>
      <w:r w:rsidRPr="00FD3E7F">
        <w:rPr>
          <w:rFonts w:ascii="Times New Roman" w:eastAsia="Times New Roman" w:hAnsi="Times New Roman" w:cs="Times New Roman"/>
          <w:b/>
          <w:bCs/>
          <w:sz w:val="24"/>
          <w:szCs w:val="24"/>
        </w:rPr>
        <w:t>Fordow</w:t>
      </w:r>
      <w:proofErr w:type="spellEnd"/>
      <w:r w:rsidRPr="00FD3E7F">
        <w:rPr>
          <w:rFonts w:ascii="Times New Roman" w:eastAsia="Times New Roman" w:hAnsi="Times New Roman" w:cs="Times New Roman"/>
          <w:b/>
          <w:bCs/>
          <w:sz w:val="24"/>
          <w:szCs w:val="24"/>
        </w:rPr>
        <w:t xml:space="preserve"> so that it is no longer used to enrich uranium</w:t>
      </w:r>
    </w:p>
    <w:p w14:paraId="4FE7C4AA" w14:textId="77777777" w:rsidR="00FD3E7F" w:rsidRPr="00FD3E7F" w:rsidRDefault="00FD3E7F" w:rsidP="00FD3E7F">
      <w:pPr>
        <w:numPr>
          <w:ilvl w:val="0"/>
          <w:numId w:val="2"/>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lastRenderedPageBreak/>
        <w:t xml:space="preserve">Iran has agreed to not enrich uranium at its </w:t>
      </w:r>
      <w:proofErr w:type="spellStart"/>
      <w:r w:rsidRPr="00FD3E7F">
        <w:rPr>
          <w:rFonts w:ascii="Times New Roman" w:eastAsia="Times New Roman" w:hAnsi="Times New Roman" w:cs="Times New Roman"/>
          <w:sz w:val="24"/>
          <w:szCs w:val="24"/>
        </w:rPr>
        <w:t>Fordow</w:t>
      </w:r>
      <w:proofErr w:type="spellEnd"/>
      <w:r w:rsidRPr="00FD3E7F">
        <w:rPr>
          <w:rFonts w:ascii="Times New Roman" w:eastAsia="Times New Roman" w:hAnsi="Times New Roman" w:cs="Times New Roman"/>
          <w:sz w:val="24"/>
          <w:szCs w:val="24"/>
        </w:rPr>
        <w:t xml:space="preserve"> facility for at least 15 years.</w:t>
      </w:r>
      <w:r w:rsidRPr="00FD3E7F">
        <w:rPr>
          <w:rFonts w:ascii="Times New Roman" w:eastAsia="Times New Roman" w:hAnsi="Times New Roman" w:cs="Times New Roman"/>
          <w:sz w:val="24"/>
          <w:szCs w:val="24"/>
        </w:rPr>
        <w:br/>
        <w:t> </w:t>
      </w:r>
    </w:p>
    <w:p w14:paraId="0970928A" w14:textId="77777777" w:rsidR="00FD3E7F" w:rsidRPr="00FD3E7F" w:rsidRDefault="00FD3E7F" w:rsidP="00FD3E7F">
      <w:pPr>
        <w:numPr>
          <w:ilvl w:val="0"/>
          <w:numId w:val="2"/>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 Iran has agreed to convert its </w:t>
      </w:r>
      <w:proofErr w:type="spellStart"/>
      <w:r w:rsidRPr="00FD3E7F">
        <w:rPr>
          <w:rFonts w:ascii="Times New Roman" w:eastAsia="Times New Roman" w:hAnsi="Times New Roman" w:cs="Times New Roman"/>
          <w:sz w:val="24"/>
          <w:szCs w:val="24"/>
        </w:rPr>
        <w:t>Fordow</w:t>
      </w:r>
      <w:proofErr w:type="spellEnd"/>
      <w:r w:rsidRPr="00FD3E7F">
        <w:rPr>
          <w:rFonts w:ascii="Times New Roman" w:eastAsia="Times New Roman" w:hAnsi="Times New Roman" w:cs="Times New Roman"/>
          <w:sz w:val="24"/>
          <w:szCs w:val="24"/>
        </w:rPr>
        <w:t xml:space="preserve"> facility so that it is used for peaceful purposes only – into a nuclear, physics, technology, </w:t>
      </w:r>
      <w:proofErr w:type="gramStart"/>
      <w:r w:rsidRPr="00FD3E7F">
        <w:rPr>
          <w:rFonts w:ascii="Times New Roman" w:eastAsia="Times New Roman" w:hAnsi="Times New Roman" w:cs="Times New Roman"/>
          <w:sz w:val="24"/>
          <w:szCs w:val="24"/>
        </w:rPr>
        <w:t>research</w:t>
      </w:r>
      <w:proofErr w:type="gramEnd"/>
      <w:r w:rsidRPr="00FD3E7F">
        <w:rPr>
          <w:rFonts w:ascii="Times New Roman" w:eastAsia="Times New Roman" w:hAnsi="Times New Roman" w:cs="Times New Roman"/>
          <w:sz w:val="24"/>
          <w:szCs w:val="24"/>
        </w:rPr>
        <w:t xml:space="preserve"> center.</w:t>
      </w:r>
      <w:r w:rsidRPr="00FD3E7F">
        <w:rPr>
          <w:rFonts w:ascii="Times New Roman" w:eastAsia="Times New Roman" w:hAnsi="Times New Roman" w:cs="Times New Roman"/>
          <w:sz w:val="24"/>
          <w:szCs w:val="24"/>
        </w:rPr>
        <w:br/>
        <w:t> </w:t>
      </w:r>
    </w:p>
    <w:p w14:paraId="3EB2775F" w14:textId="77777777" w:rsidR="00FD3E7F" w:rsidRPr="00FD3E7F" w:rsidRDefault="00FD3E7F" w:rsidP="00FD3E7F">
      <w:pPr>
        <w:numPr>
          <w:ilvl w:val="0"/>
          <w:numId w:val="2"/>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Iran has agreed to not conduct research and development associated with uranium enrichment at </w:t>
      </w:r>
      <w:proofErr w:type="spellStart"/>
      <w:r w:rsidRPr="00FD3E7F">
        <w:rPr>
          <w:rFonts w:ascii="Times New Roman" w:eastAsia="Times New Roman" w:hAnsi="Times New Roman" w:cs="Times New Roman"/>
          <w:sz w:val="24"/>
          <w:szCs w:val="24"/>
        </w:rPr>
        <w:t>Fordow</w:t>
      </w:r>
      <w:proofErr w:type="spellEnd"/>
      <w:r w:rsidRPr="00FD3E7F">
        <w:rPr>
          <w:rFonts w:ascii="Times New Roman" w:eastAsia="Times New Roman" w:hAnsi="Times New Roman" w:cs="Times New Roman"/>
          <w:sz w:val="24"/>
          <w:szCs w:val="24"/>
        </w:rPr>
        <w:t xml:space="preserve"> for 15 years.</w:t>
      </w:r>
      <w:r w:rsidRPr="00FD3E7F">
        <w:rPr>
          <w:rFonts w:ascii="Times New Roman" w:eastAsia="Times New Roman" w:hAnsi="Times New Roman" w:cs="Times New Roman"/>
          <w:sz w:val="24"/>
          <w:szCs w:val="24"/>
        </w:rPr>
        <w:br/>
        <w:t> </w:t>
      </w:r>
    </w:p>
    <w:p w14:paraId="5F9A5D0A" w14:textId="77777777" w:rsidR="00FD3E7F" w:rsidRPr="00FD3E7F" w:rsidRDefault="00FD3E7F" w:rsidP="00FD3E7F">
      <w:pPr>
        <w:numPr>
          <w:ilvl w:val="0"/>
          <w:numId w:val="2"/>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Iran will not have any fissile material at </w:t>
      </w:r>
      <w:proofErr w:type="spellStart"/>
      <w:r w:rsidRPr="00FD3E7F">
        <w:rPr>
          <w:rFonts w:ascii="Times New Roman" w:eastAsia="Times New Roman" w:hAnsi="Times New Roman" w:cs="Times New Roman"/>
          <w:sz w:val="24"/>
          <w:szCs w:val="24"/>
        </w:rPr>
        <w:t>Fordow</w:t>
      </w:r>
      <w:proofErr w:type="spellEnd"/>
      <w:r w:rsidRPr="00FD3E7F">
        <w:rPr>
          <w:rFonts w:ascii="Times New Roman" w:eastAsia="Times New Roman" w:hAnsi="Times New Roman" w:cs="Times New Roman"/>
          <w:sz w:val="24"/>
          <w:szCs w:val="24"/>
        </w:rPr>
        <w:t xml:space="preserve"> for 15 years.</w:t>
      </w:r>
      <w:r w:rsidRPr="00FD3E7F">
        <w:rPr>
          <w:rFonts w:ascii="Times New Roman" w:eastAsia="Times New Roman" w:hAnsi="Times New Roman" w:cs="Times New Roman"/>
          <w:sz w:val="24"/>
          <w:szCs w:val="24"/>
        </w:rPr>
        <w:br/>
        <w:t> </w:t>
      </w:r>
    </w:p>
    <w:p w14:paraId="3FF02731" w14:textId="77777777" w:rsidR="00FD3E7F" w:rsidRPr="00FD3E7F" w:rsidRDefault="00FD3E7F" w:rsidP="00FD3E7F">
      <w:pPr>
        <w:numPr>
          <w:ilvl w:val="0"/>
          <w:numId w:val="2"/>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Almost two-thirds of </w:t>
      </w:r>
      <w:proofErr w:type="spellStart"/>
      <w:r w:rsidRPr="00FD3E7F">
        <w:rPr>
          <w:rFonts w:ascii="Times New Roman" w:eastAsia="Times New Roman" w:hAnsi="Times New Roman" w:cs="Times New Roman"/>
          <w:sz w:val="24"/>
          <w:szCs w:val="24"/>
        </w:rPr>
        <w:t>Fordow’s</w:t>
      </w:r>
      <w:proofErr w:type="spellEnd"/>
      <w:r w:rsidRPr="00FD3E7F">
        <w:rPr>
          <w:rFonts w:ascii="Times New Roman" w:eastAsia="Times New Roman" w:hAnsi="Times New Roman" w:cs="Times New Roman"/>
          <w:sz w:val="24"/>
          <w:szCs w:val="24"/>
        </w:rPr>
        <w:t xml:space="preserve"> centrifuges and infrastructure will be removed. The remaining centrifuges will not enrich uranium. All centrifuges and related infrastructure will be placed under IAEA monitoring.</w:t>
      </w:r>
    </w:p>
    <w:p w14:paraId="7B1C657A" w14:textId="77777777" w:rsidR="00FD3E7F" w:rsidRPr="00FD3E7F" w:rsidRDefault="00FD3E7F" w:rsidP="00FD3E7F">
      <w:pPr>
        <w:shd w:val="clear" w:color="auto" w:fill="FFFFFF"/>
        <w:spacing w:before="100" w:beforeAutospacing="1" w:after="100" w:afterAutospacing="1"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br/>
      </w:r>
      <w:r w:rsidRPr="00FD3E7F">
        <w:rPr>
          <w:rFonts w:ascii="Times New Roman" w:eastAsia="Times New Roman" w:hAnsi="Times New Roman" w:cs="Times New Roman"/>
          <w:b/>
          <w:bCs/>
          <w:sz w:val="24"/>
          <w:szCs w:val="24"/>
        </w:rPr>
        <w:t xml:space="preserve">Iran will only enrich uranium at the </w:t>
      </w:r>
      <w:proofErr w:type="spellStart"/>
      <w:r w:rsidRPr="00FD3E7F">
        <w:rPr>
          <w:rFonts w:ascii="Times New Roman" w:eastAsia="Times New Roman" w:hAnsi="Times New Roman" w:cs="Times New Roman"/>
          <w:b/>
          <w:bCs/>
          <w:sz w:val="24"/>
          <w:szCs w:val="24"/>
        </w:rPr>
        <w:t>Natanz</w:t>
      </w:r>
      <w:proofErr w:type="spellEnd"/>
      <w:r w:rsidRPr="00FD3E7F">
        <w:rPr>
          <w:rFonts w:ascii="Times New Roman" w:eastAsia="Times New Roman" w:hAnsi="Times New Roman" w:cs="Times New Roman"/>
          <w:b/>
          <w:bCs/>
          <w:sz w:val="24"/>
          <w:szCs w:val="24"/>
        </w:rPr>
        <w:t xml:space="preserve"> facility, with only 5,060 IR-1 first-generation centrifuges for ten years.</w:t>
      </w:r>
    </w:p>
    <w:p w14:paraId="0B6E01FE" w14:textId="77777777" w:rsidR="00FD3E7F" w:rsidRPr="00FD3E7F" w:rsidRDefault="00FD3E7F" w:rsidP="00FD3E7F">
      <w:pPr>
        <w:numPr>
          <w:ilvl w:val="0"/>
          <w:numId w:val="3"/>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Iran has agreed to only enrich uranium using its first generation (IR-1 models) centrifuges at </w:t>
      </w:r>
      <w:proofErr w:type="spellStart"/>
      <w:r w:rsidRPr="00FD3E7F">
        <w:rPr>
          <w:rFonts w:ascii="Times New Roman" w:eastAsia="Times New Roman" w:hAnsi="Times New Roman" w:cs="Times New Roman"/>
          <w:sz w:val="24"/>
          <w:szCs w:val="24"/>
        </w:rPr>
        <w:t>Natanz</w:t>
      </w:r>
      <w:proofErr w:type="spellEnd"/>
      <w:r w:rsidRPr="00FD3E7F">
        <w:rPr>
          <w:rFonts w:ascii="Times New Roman" w:eastAsia="Times New Roman" w:hAnsi="Times New Roman" w:cs="Times New Roman"/>
          <w:sz w:val="24"/>
          <w:szCs w:val="24"/>
        </w:rPr>
        <w:t xml:space="preserve"> for ten years, removing its more advanced centrifuges.</w:t>
      </w:r>
      <w:r w:rsidRPr="00FD3E7F">
        <w:rPr>
          <w:rFonts w:ascii="Times New Roman" w:eastAsia="Times New Roman" w:hAnsi="Times New Roman" w:cs="Times New Roman"/>
          <w:sz w:val="24"/>
          <w:szCs w:val="24"/>
        </w:rPr>
        <w:br/>
        <w:t> </w:t>
      </w:r>
    </w:p>
    <w:p w14:paraId="164F2CBE" w14:textId="77777777" w:rsidR="00FD3E7F" w:rsidRPr="00FD3E7F" w:rsidRDefault="00FD3E7F" w:rsidP="00FD3E7F">
      <w:pPr>
        <w:numPr>
          <w:ilvl w:val="0"/>
          <w:numId w:val="3"/>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Iran will remove the 1,000 IR-2M centrifuges currently installed at </w:t>
      </w:r>
      <w:proofErr w:type="spellStart"/>
      <w:r w:rsidRPr="00FD3E7F">
        <w:rPr>
          <w:rFonts w:ascii="Times New Roman" w:eastAsia="Times New Roman" w:hAnsi="Times New Roman" w:cs="Times New Roman"/>
          <w:sz w:val="24"/>
          <w:szCs w:val="24"/>
        </w:rPr>
        <w:t>Natanz</w:t>
      </w:r>
      <w:proofErr w:type="spellEnd"/>
      <w:r w:rsidRPr="00FD3E7F">
        <w:rPr>
          <w:rFonts w:ascii="Times New Roman" w:eastAsia="Times New Roman" w:hAnsi="Times New Roman" w:cs="Times New Roman"/>
          <w:sz w:val="24"/>
          <w:szCs w:val="24"/>
        </w:rPr>
        <w:t xml:space="preserve"> and place them in IAEA monitored storage for ten years.</w:t>
      </w:r>
      <w:r w:rsidRPr="00FD3E7F">
        <w:rPr>
          <w:rFonts w:ascii="Times New Roman" w:eastAsia="Times New Roman" w:hAnsi="Times New Roman" w:cs="Times New Roman"/>
          <w:sz w:val="24"/>
          <w:szCs w:val="24"/>
        </w:rPr>
        <w:br/>
        <w:t> </w:t>
      </w:r>
    </w:p>
    <w:p w14:paraId="767422BA" w14:textId="77777777" w:rsidR="00FD3E7F" w:rsidRPr="00FD3E7F" w:rsidRDefault="00FD3E7F" w:rsidP="00FD3E7F">
      <w:pPr>
        <w:numPr>
          <w:ilvl w:val="0"/>
          <w:numId w:val="3"/>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Iran will not use its IR-2, IR-4, </w:t>
      </w:r>
      <w:proofErr w:type="gramStart"/>
      <w:r w:rsidRPr="00FD3E7F">
        <w:rPr>
          <w:rFonts w:ascii="Times New Roman" w:eastAsia="Times New Roman" w:hAnsi="Times New Roman" w:cs="Times New Roman"/>
          <w:sz w:val="24"/>
          <w:szCs w:val="24"/>
        </w:rPr>
        <w:t>IR</w:t>
      </w:r>
      <w:proofErr w:type="gramEnd"/>
      <w:r w:rsidRPr="00FD3E7F">
        <w:rPr>
          <w:rFonts w:ascii="Times New Roman" w:eastAsia="Times New Roman" w:hAnsi="Times New Roman" w:cs="Times New Roman"/>
          <w:sz w:val="24"/>
          <w:szCs w:val="24"/>
        </w:rPr>
        <w:t>-5, IR-6, or IR-8 models to produce enriched uranium for at least ten years. Iran will engage in limited research and development with its advanced centrifuges, according to a schedule and parameters which have been agreed to by the P5+1.</w:t>
      </w:r>
      <w:r w:rsidRPr="00FD3E7F">
        <w:rPr>
          <w:rFonts w:ascii="Times New Roman" w:eastAsia="Times New Roman" w:hAnsi="Times New Roman" w:cs="Times New Roman"/>
          <w:sz w:val="24"/>
          <w:szCs w:val="24"/>
        </w:rPr>
        <w:br/>
        <w:t> </w:t>
      </w:r>
    </w:p>
    <w:p w14:paraId="60653221" w14:textId="77777777" w:rsidR="00FD3E7F" w:rsidRPr="00FD3E7F" w:rsidRDefault="00FD3E7F" w:rsidP="00FD3E7F">
      <w:pPr>
        <w:numPr>
          <w:ilvl w:val="0"/>
          <w:numId w:val="3"/>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For ten years, enrichment and enrichment research and development will be limited to ensure a breakout timeline of at least 1 year. Beyond 10 years, Iran will abide by its enrichment and enrichment R&amp;D plan submitted to the IAEA, and pursuant to the JCPOA, under the Additional Protocol resulting in certain limitations on enrichment capacity.</w:t>
      </w:r>
    </w:p>
    <w:p w14:paraId="2540FFDF" w14:textId="77777777" w:rsidR="00FD3E7F" w:rsidRPr="00FD3E7F" w:rsidRDefault="00FD3E7F" w:rsidP="00FD3E7F">
      <w:pPr>
        <w:shd w:val="clear" w:color="auto" w:fill="FFFFFF"/>
        <w:spacing w:before="100" w:beforeAutospacing="1" w:after="100" w:afterAutospacing="1"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b/>
          <w:bCs/>
          <w:sz w:val="24"/>
          <w:szCs w:val="24"/>
        </w:rPr>
        <w:t xml:space="preserve">Inspections and Transparency </w:t>
      </w:r>
    </w:p>
    <w:p w14:paraId="49A4C65C"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The IAEA will have regular access to all of Iran’s nuclear facilities, including to Iran’s enrichment facility at </w:t>
      </w:r>
      <w:proofErr w:type="spellStart"/>
      <w:r w:rsidRPr="00FD3E7F">
        <w:rPr>
          <w:rFonts w:ascii="Times New Roman" w:eastAsia="Times New Roman" w:hAnsi="Times New Roman" w:cs="Times New Roman"/>
          <w:sz w:val="24"/>
          <w:szCs w:val="24"/>
        </w:rPr>
        <w:t>Natanz</w:t>
      </w:r>
      <w:proofErr w:type="spellEnd"/>
      <w:r w:rsidRPr="00FD3E7F">
        <w:rPr>
          <w:rFonts w:ascii="Times New Roman" w:eastAsia="Times New Roman" w:hAnsi="Times New Roman" w:cs="Times New Roman"/>
          <w:sz w:val="24"/>
          <w:szCs w:val="24"/>
        </w:rPr>
        <w:t xml:space="preserve"> and its former enrichment facility at </w:t>
      </w:r>
      <w:proofErr w:type="spellStart"/>
      <w:r w:rsidRPr="00FD3E7F">
        <w:rPr>
          <w:rFonts w:ascii="Times New Roman" w:eastAsia="Times New Roman" w:hAnsi="Times New Roman" w:cs="Times New Roman"/>
          <w:sz w:val="24"/>
          <w:szCs w:val="24"/>
        </w:rPr>
        <w:t>Fordow</w:t>
      </w:r>
      <w:proofErr w:type="spellEnd"/>
      <w:r w:rsidRPr="00FD3E7F">
        <w:rPr>
          <w:rFonts w:ascii="Times New Roman" w:eastAsia="Times New Roman" w:hAnsi="Times New Roman" w:cs="Times New Roman"/>
          <w:sz w:val="24"/>
          <w:szCs w:val="24"/>
        </w:rPr>
        <w:t>, and including the use of the most up-to-date, modern monitoring technologies.</w:t>
      </w:r>
      <w:r w:rsidRPr="00FD3E7F">
        <w:rPr>
          <w:rFonts w:ascii="Times New Roman" w:eastAsia="Times New Roman" w:hAnsi="Times New Roman" w:cs="Times New Roman"/>
          <w:sz w:val="24"/>
          <w:szCs w:val="24"/>
        </w:rPr>
        <w:br/>
        <w:t> </w:t>
      </w:r>
    </w:p>
    <w:p w14:paraId="515A81AD"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Inspectors will have access to the supply chain that supports Iran’s nuclear program. The new transparency and inspections mechanisms will closely monitor materials and/or components to prevent diversion to a secret program.</w:t>
      </w:r>
      <w:r w:rsidRPr="00FD3E7F">
        <w:rPr>
          <w:rFonts w:ascii="Times New Roman" w:eastAsia="Times New Roman" w:hAnsi="Times New Roman" w:cs="Times New Roman"/>
          <w:sz w:val="24"/>
          <w:szCs w:val="24"/>
        </w:rPr>
        <w:br/>
        <w:t> </w:t>
      </w:r>
    </w:p>
    <w:p w14:paraId="182DA3EA"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lastRenderedPageBreak/>
        <w:t>Inspectors will have access to uranium mines and continuous surveillance at uranium mills, where Iran produces yellowcake, for 25 years.</w:t>
      </w:r>
      <w:r w:rsidRPr="00FD3E7F">
        <w:rPr>
          <w:rFonts w:ascii="Times New Roman" w:eastAsia="Times New Roman" w:hAnsi="Times New Roman" w:cs="Times New Roman"/>
          <w:sz w:val="24"/>
          <w:szCs w:val="24"/>
        </w:rPr>
        <w:br/>
        <w:t> </w:t>
      </w:r>
    </w:p>
    <w:p w14:paraId="29F60839"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Inspectors will have continuous surveillance of Iran’s centrifuge rotors and bellows production and storage facilities for 20 years. Iran’s centrifuge manufacturing base will be frozen and under continuous surveillance.</w:t>
      </w:r>
      <w:r w:rsidRPr="00FD3E7F">
        <w:rPr>
          <w:rFonts w:ascii="Times New Roman" w:eastAsia="Times New Roman" w:hAnsi="Times New Roman" w:cs="Times New Roman"/>
          <w:sz w:val="24"/>
          <w:szCs w:val="24"/>
        </w:rPr>
        <w:br/>
        <w:t> </w:t>
      </w:r>
    </w:p>
    <w:p w14:paraId="5EA63FBB"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All centrifuges and enrichment infrastructure removed from </w:t>
      </w:r>
      <w:proofErr w:type="spellStart"/>
      <w:r w:rsidRPr="00FD3E7F">
        <w:rPr>
          <w:rFonts w:ascii="Times New Roman" w:eastAsia="Times New Roman" w:hAnsi="Times New Roman" w:cs="Times New Roman"/>
          <w:sz w:val="24"/>
          <w:szCs w:val="24"/>
        </w:rPr>
        <w:t>Fordow</w:t>
      </w:r>
      <w:proofErr w:type="spellEnd"/>
      <w:r w:rsidRPr="00FD3E7F">
        <w:rPr>
          <w:rFonts w:ascii="Times New Roman" w:eastAsia="Times New Roman" w:hAnsi="Times New Roman" w:cs="Times New Roman"/>
          <w:sz w:val="24"/>
          <w:szCs w:val="24"/>
        </w:rPr>
        <w:t xml:space="preserve"> and </w:t>
      </w:r>
      <w:proofErr w:type="spellStart"/>
      <w:r w:rsidRPr="00FD3E7F">
        <w:rPr>
          <w:rFonts w:ascii="Times New Roman" w:eastAsia="Times New Roman" w:hAnsi="Times New Roman" w:cs="Times New Roman"/>
          <w:sz w:val="24"/>
          <w:szCs w:val="24"/>
        </w:rPr>
        <w:t>Natanz</w:t>
      </w:r>
      <w:proofErr w:type="spellEnd"/>
      <w:r w:rsidRPr="00FD3E7F">
        <w:rPr>
          <w:rFonts w:ascii="Times New Roman" w:eastAsia="Times New Roman" w:hAnsi="Times New Roman" w:cs="Times New Roman"/>
          <w:sz w:val="24"/>
          <w:szCs w:val="24"/>
        </w:rPr>
        <w:t xml:space="preserve"> will be placed under continuous monitoring by the IAEA.</w:t>
      </w:r>
      <w:r w:rsidRPr="00FD3E7F">
        <w:rPr>
          <w:rFonts w:ascii="Times New Roman" w:eastAsia="Times New Roman" w:hAnsi="Times New Roman" w:cs="Times New Roman"/>
          <w:sz w:val="24"/>
          <w:szCs w:val="24"/>
        </w:rPr>
        <w:br/>
        <w:t> </w:t>
      </w:r>
    </w:p>
    <w:p w14:paraId="2AE7DEA6"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A dedicated procurement channel for Iran’s nuclear program will be established to monitor and approve, on a case by case basis, the supply, sale, or transfer to Iran of certain nuclear-related and dual use materials and technology – an additional transparency measure.</w:t>
      </w:r>
      <w:r w:rsidRPr="00FD3E7F">
        <w:rPr>
          <w:rFonts w:ascii="Times New Roman" w:eastAsia="Times New Roman" w:hAnsi="Times New Roman" w:cs="Times New Roman"/>
          <w:sz w:val="24"/>
          <w:szCs w:val="24"/>
        </w:rPr>
        <w:br/>
        <w:t> </w:t>
      </w:r>
    </w:p>
    <w:p w14:paraId="1C55477F"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has agreed to implement the Additional Protocol of the IAEA, providing the IAEA much greater access and information regarding Iran’s nuclear program, including both declared and undeclared facilities.</w:t>
      </w:r>
      <w:r w:rsidRPr="00FD3E7F">
        <w:rPr>
          <w:rFonts w:ascii="Times New Roman" w:eastAsia="Times New Roman" w:hAnsi="Times New Roman" w:cs="Times New Roman"/>
          <w:sz w:val="24"/>
          <w:szCs w:val="24"/>
        </w:rPr>
        <w:br/>
        <w:t> </w:t>
      </w:r>
    </w:p>
    <w:p w14:paraId="0EA487AA"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will be required to grant access to the IAEA to investigate suspicious sites or allegations of a covert enrichment facility, conversion facility, centrifuge production facility, or yellowcake production facility anywhere in the country.</w:t>
      </w:r>
      <w:r w:rsidRPr="00FD3E7F">
        <w:rPr>
          <w:rFonts w:ascii="Times New Roman" w:eastAsia="Times New Roman" w:hAnsi="Times New Roman" w:cs="Times New Roman"/>
          <w:sz w:val="24"/>
          <w:szCs w:val="24"/>
        </w:rPr>
        <w:br/>
        <w:t> </w:t>
      </w:r>
    </w:p>
    <w:p w14:paraId="58F544E5"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has agreed to implement Modified Code 3.1 requiring early notification of construction of new facilities.</w:t>
      </w:r>
      <w:r w:rsidRPr="00FD3E7F">
        <w:rPr>
          <w:rFonts w:ascii="Times New Roman" w:eastAsia="Times New Roman" w:hAnsi="Times New Roman" w:cs="Times New Roman"/>
          <w:sz w:val="24"/>
          <w:szCs w:val="24"/>
        </w:rPr>
        <w:br/>
        <w:t> </w:t>
      </w:r>
    </w:p>
    <w:p w14:paraId="5460F19D" w14:textId="77777777" w:rsidR="00FD3E7F" w:rsidRPr="00FD3E7F" w:rsidRDefault="00FD3E7F" w:rsidP="00FD3E7F">
      <w:pPr>
        <w:numPr>
          <w:ilvl w:val="0"/>
          <w:numId w:val="4"/>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will implement an agreed set of measures to address the IAEA’s concerns regarding the Possible Military Dimensions (PMD) of its program.</w:t>
      </w:r>
    </w:p>
    <w:p w14:paraId="2621E782" w14:textId="77777777" w:rsidR="00FD3E7F" w:rsidRPr="00FD3E7F" w:rsidRDefault="00FD3E7F" w:rsidP="00FD3E7F">
      <w:pPr>
        <w:shd w:val="clear" w:color="auto" w:fill="FFFFFF"/>
        <w:spacing w:before="100" w:beforeAutospacing="1" w:after="100" w:afterAutospacing="1"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b/>
          <w:bCs/>
          <w:sz w:val="24"/>
          <w:szCs w:val="24"/>
        </w:rPr>
        <w:t xml:space="preserve">Reactors and Reprocessing </w:t>
      </w:r>
    </w:p>
    <w:p w14:paraId="7DBB2709" w14:textId="77777777" w:rsidR="00FD3E7F" w:rsidRPr="00FD3E7F" w:rsidRDefault="00FD3E7F" w:rsidP="00FD3E7F">
      <w:pPr>
        <w:numPr>
          <w:ilvl w:val="0"/>
          <w:numId w:val="5"/>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has agreed to redesign and rebuild a heavy water research reactor in Arak, based on a design that is agreed to by the P5+1, which will not produce weapons grade plutonium, and which will support peaceful nuclear research and radioisotope production.</w:t>
      </w:r>
      <w:r w:rsidRPr="00FD3E7F">
        <w:rPr>
          <w:rFonts w:ascii="Times New Roman" w:eastAsia="Times New Roman" w:hAnsi="Times New Roman" w:cs="Times New Roman"/>
          <w:sz w:val="24"/>
          <w:szCs w:val="24"/>
        </w:rPr>
        <w:br/>
        <w:t> </w:t>
      </w:r>
    </w:p>
    <w:p w14:paraId="0FD5890C" w14:textId="77777777" w:rsidR="00FD3E7F" w:rsidRPr="00FD3E7F" w:rsidRDefault="00FD3E7F" w:rsidP="00FD3E7F">
      <w:pPr>
        <w:numPr>
          <w:ilvl w:val="0"/>
          <w:numId w:val="5"/>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The original core of the reactor, which would have enabled the production of significant quantities of weapons-grade plutonium, will be destroyed or removed from the country.</w:t>
      </w:r>
      <w:r w:rsidRPr="00FD3E7F">
        <w:rPr>
          <w:rFonts w:ascii="Times New Roman" w:eastAsia="Times New Roman" w:hAnsi="Times New Roman" w:cs="Times New Roman"/>
          <w:sz w:val="24"/>
          <w:szCs w:val="24"/>
        </w:rPr>
        <w:br/>
        <w:t> </w:t>
      </w:r>
    </w:p>
    <w:p w14:paraId="0DF73FBE" w14:textId="77777777" w:rsidR="00FD3E7F" w:rsidRPr="00FD3E7F" w:rsidRDefault="00FD3E7F" w:rsidP="00FD3E7F">
      <w:pPr>
        <w:numPr>
          <w:ilvl w:val="0"/>
          <w:numId w:val="5"/>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will ship all of its spent fuel from the reactor out of the country for the reactor’s lifetime.</w:t>
      </w:r>
      <w:r w:rsidRPr="00FD3E7F">
        <w:rPr>
          <w:rFonts w:ascii="Times New Roman" w:eastAsia="Times New Roman" w:hAnsi="Times New Roman" w:cs="Times New Roman"/>
          <w:sz w:val="24"/>
          <w:szCs w:val="24"/>
        </w:rPr>
        <w:br/>
        <w:t> </w:t>
      </w:r>
    </w:p>
    <w:p w14:paraId="61552035" w14:textId="77777777" w:rsidR="00FD3E7F" w:rsidRPr="00FD3E7F" w:rsidRDefault="00FD3E7F" w:rsidP="00FD3E7F">
      <w:pPr>
        <w:numPr>
          <w:ilvl w:val="0"/>
          <w:numId w:val="5"/>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has committed indefinitely to not conduct reprocessing or reprocessing research and development on spent nuclear fuel.</w:t>
      </w:r>
      <w:r w:rsidRPr="00FD3E7F">
        <w:rPr>
          <w:rFonts w:ascii="Times New Roman" w:eastAsia="Times New Roman" w:hAnsi="Times New Roman" w:cs="Times New Roman"/>
          <w:sz w:val="24"/>
          <w:szCs w:val="24"/>
        </w:rPr>
        <w:br/>
        <w:t> </w:t>
      </w:r>
    </w:p>
    <w:p w14:paraId="19C17656" w14:textId="77777777" w:rsidR="00FD3E7F" w:rsidRPr="00FD3E7F" w:rsidRDefault="00FD3E7F" w:rsidP="00FD3E7F">
      <w:pPr>
        <w:numPr>
          <w:ilvl w:val="0"/>
          <w:numId w:val="5"/>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lastRenderedPageBreak/>
        <w:t>Iran will not accumulate heavy water in excess of the needs of the modified Arak reactor, and will sell any remaining heavy water on the international market for 15 years.</w:t>
      </w:r>
      <w:r w:rsidRPr="00FD3E7F">
        <w:rPr>
          <w:rFonts w:ascii="Times New Roman" w:eastAsia="Times New Roman" w:hAnsi="Times New Roman" w:cs="Times New Roman"/>
          <w:sz w:val="24"/>
          <w:szCs w:val="24"/>
        </w:rPr>
        <w:br/>
        <w:t> </w:t>
      </w:r>
    </w:p>
    <w:p w14:paraId="2DE575FE" w14:textId="77777777" w:rsidR="00FD3E7F" w:rsidRPr="00FD3E7F" w:rsidRDefault="00FD3E7F" w:rsidP="00FD3E7F">
      <w:pPr>
        <w:numPr>
          <w:ilvl w:val="0"/>
          <w:numId w:val="5"/>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will not build any additional heavy water reactors for 15 years.</w:t>
      </w:r>
    </w:p>
    <w:p w14:paraId="56EC6651" w14:textId="77777777" w:rsidR="00FD3E7F" w:rsidRPr="00FD3E7F" w:rsidRDefault="00FD3E7F" w:rsidP="00FD3E7F">
      <w:pPr>
        <w:shd w:val="clear" w:color="auto" w:fill="FFFFFF"/>
        <w:spacing w:before="100" w:beforeAutospacing="1" w:after="100" w:afterAutospacing="1"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b/>
          <w:bCs/>
          <w:sz w:val="24"/>
          <w:szCs w:val="24"/>
        </w:rPr>
        <w:t xml:space="preserve">Sanctions </w:t>
      </w:r>
    </w:p>
    <w:p w14:paraId="461E117C" w14:textId="77777777" w:rsidR="00FD3E7F" w:rsidRPr="00FD3E7F" w:rsidRDefault="00FD3E7F" w:rsidP="00FD3E7F">
      <w:pPr>
        <w:numPr>
          <w:ilvl w:val="0"/>
          <w:numId w:val="6"/>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Iran will receive sanctions relief, if it verifiably abides by its commitments.</w:t>
      </w:r>
      <w:r w:rsidRPr="00FD3E7F">
        <w:rPr>
          <w:rFonts w:ascii="Times New Roman" w:eastAsia="Times New Roman" w:hAnsi="Times New Roman" w:cs="Times New Roman"/>
          <w:sz w:val="24"/>
          <w:szCs w:val="24"/>
        </w:rPr>
        <w:br/>
        <w:t> </w:t>
      </w:r>
    </w:p>
    <w:p w14:paraId="0A9196A5" w14:textId="77777777" w:rsidR="00FD3E7F" w:rsidRPr="00FD3E7F" w:rsidRDefault="00FD3E7F" w:rsidP="00FD3E7F">
      <w:pPr>
        <w:numPr>
          <w:ilvl w:val="0"/>
          <w:numId w:val="6"/>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U.S. and E.U. nuclear-related sanctions will be suspended after the IAEA has verified that Iran has taken all of its key nuclear-related steps. If at any time Iran fails to fulfill its commitments, these sanctions will snap back into place.</w:t>
      </w:r>
      <w:r w:rsidRPr="00FD3E7F">
        <w:rPr>
          <w:rFonts w:ascii="Times New Roman" w:eastAsia="Times New Roman" w:hAnsi="Times New Roman" w:cs="Times New Roman"/>
          <w:sz w:val="24"/>
          <w:szCs w:val="24"/>
        </w:rPr>
        <w:br/>
        <w:t> </w:t>
      </w:r>
    </w:p>
    <w:p w14:paraId="0E4CEE31" w14:textId="77777777" w:rsidR="00FD3E7F" w:rsidRPr="00FD3E7F" w:rsidRDefault="00FD3E7F" w:rsidP="00FD3E7F">
      <w:pPr>
        <w:numPr>
          <w:ilvl w:val="0"/>
          <w:numId w:val="6"/>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The architecture of U.S. nuclear-related sanctions on Iran will be retained for much of the duration of the deal and allow for snap-back of sanctions in the event of significant non-performance.</w:t>
      </w:r>
      <w:r w:rsidRPr="00FD3E7F">
        <w:rPr>
          <w:rFonts w:ascii="Times New Roman" w:eastAsia="Times New Roman" w:hAnsi="Times New Roman" w:cs="Times New Roman"/>
          <w:sz w:val="24"/>
          <w:szCs w:val="24"/>
        </w:rPr>
        <w:br/>
        <w:t> </w:t>
      </w:r>
    </w:p>
    <w:p w14:paraId="385A94C2" w14:textId="77777777" w:rsidR="00FD3E7F" w:rsidRPr="00FD3E7F" w:rsidRDefault="00FD3E7F" w:rsidP="00FD3E7F">
      <w:pPr>
        <w:numPr>
          <w:ilvl w:val="0"/>
          <w:numId w:val="6"/>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 xml:space="preserve">All past UN Security Council resolutions on the Iran nuclear issue will be lifted simultaneous with the completion, by Iran, of nuclear-related actions addressing all key concerns (enrichment, </w:t>
      </w:r>
      <w:proofErr w:type="spellStart"/>
      <w:r w:rsidRPr="00FD3E7F">
        <w:rPr>
          <w:rFonts w:ascii="Times New Roman" w:eastAsia="Times New Roman" w:hAnsi="Times New Roman" w:cs="Times New Roman"/>
          <w:sz w:val="24"/>
          <w:szCs w:val="24"/>
        </w:rPr>
        <w:t>Fordow</w:t>
      </w:r>
      <w:proofErr w:type="spellEnd"/>
      <w:r w:rsidRPr="00FD3E7F">
        <w:rPr>
          <w:rFonts w:ascii="Times New Roman" w:eastAsia="Times New Roman" w:hAnsi="Times New Roman" w:cs="Times New Roman"/>
          <w:sz w:val="24"/>
          <w:szCs w:val="24"/>
        </w:rPr>
        <w:t>, Arak, PMD, and transparency).</w:t>
      </w:r>
      <w:r w:rsidRPr="00FD3E7F">
        <w:rPr>
          <w:rFonts w:ascii="Times New Roman" w:eastAsia="Times New Roman" w:hAnsi="Times New Roman" w:cs="Times New Roman"/>
          <w:sz w:val="24"/>
          <w:szCs w:val="24"/>
        </w:rPr>
        <w:br/>
        <w:t> </w:t>
      </w:r>
    </w:p>
    <w:p w14:paraId="0609B0D8" w14:textId="77777777" w:rsidR="00FD3E7F" w:rsidRPr="00FD3E7F" w:rsidRDefault="00FD3E7F" w:rsidP="00FD3E7F">
      <w:pPr>
        <w:numPr>
          <w:ilvl w:val="0"/>
          <w:numId w:val="6"/>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However, core provisions in the UN Security Council resolutions – those that deal with transfers of sensitive technologies and activities – will be re-established by a new UN Security Council resolution that will endorse the JCPOA and urge its full implementation. It will also create the procurement channel mentioned above, which will serve as a key transparency measure. Important restrictions on conventional arms and ballistic missiles, as well as provisions that allow for related cargo inspections and asset freezes, will also be incorporated by this new resolution.</w:t>
      </w:r>
      <w:r w:rsidRPr="00FD3E7F">
        <w:rPr>
          <w:rFonts w:ascii="Times New Roman" w:eastAsia="Times New Roman" w:hAnsi="Times New Roman" w:cs="Times New Roman"/>
          <w:sz w:val="24"/>
          <w:szCs w:val="24"/>
        </w:rPr>
        <w:br/>
        <w:t> </w:t>
      </w:r>
    </w:p>
    <w:p w14:paraId="3CD20431" w14:textId="77777777" w:rsidR="00FD3E7F" w:rsidRPr="00FD3E7F" w:rsidRDefault="00FD3E7F" w:rsidP="00FD3E7F">
      <w:pPr>
        <w:numPr>
          <w:ilvl w:val="0"/>
          <w:numId w:val="6"/>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A dispute resolution process will be specified, which enables any JCPOA participant, to seek to resolve disagreements about the performance of JCPOA commitments.</w:t>
      </w:r>
      <w:r w:rsidRPr="00FD3E7F">
        <w:rPr>
          <w:rFonts w:ascii="Times New Roman" w:eastAsia="Times New Roman" w:hAnsi="Times New Roman" w:cs="Times New Roman"/>
          <w:sz w:val="24"/>
          <w:szCs w:val="24"/>
        </w:rPr>
        <w:br/>
        <w:t> </w:t>
      </w:r>
    </w:p>
    <w:p w14:paraId="5FF7AEB4" w14:textId="77777777" w:rsidR="00FD3E7F" w:rsidRPr="00FD3E7F" w:rsidRDefault="00FD3E7F" w:rsidP="00FD3E7F">
      <w:pPr>
        <w:numPr>
          <w:ilvl w:val="0"/>
          <w:numId w:val="6"/>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If an issue of significant non-performance cannot be resolved through that process, then all previous UN sanctions could be re-imposed.</w:t>
      </w:r>
      <w:r w:rsidRPr="00FD3E7F">
        <w:rPr>
          <w:rFonts w:ascii="Times New Roman" w:eastAsia="Times New Roman" w:hAnsi="Times New Roman" w:cs="Times New Roman"/>
          <w:sz w:val="24"/>
          <w:szCs w:val="24"/>
        </w:rPr>
        <w:br/>
        <w:t> </w:t>
      </w:r>
    </w:p>
    <w:p w14:paraId="3BF6269A" w14:textId="77777777" w:rsidR="00FD3E7F" w:rsidRPr="00FD3E7F" w:rsidRDefault="00FD3E7F" w:rsidP="00FD3E7F">
      <w:pPr>
        <w:numPr>
          <w:ilvl w:val="0"/>
          <w:numId w:val="6"/>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U.S. sanctions on Iran for terrorism, human rights abuses, and ballistic missiles will remain in place under the deal.</w:t>
      </w:r>
    </w:p>
    <w:p w14:paraId="6D33BB68" w14:textId="77777777" w:rsidR="00FD3E7F" w:rsidRPr="00FD3E7F" w:rsidRDefault="00FD3E7F" w:rsidP="00FD3E7F">
      <w:pPr>
        <w:shd w:val="clear" w:color="auto" w:fill="FFFFFF"/>
        <w:spacing w:before="100" w:beforeAutospacing="1" w:after="100" w:afterAutospacing="1" w:line="300" w:lineRule="atLeast"/>
        <w:jc w:val="left"/>
        <w:rPr>
          <w:rFonts w:ascii="Times New Roman" w:eastAsia="Times New Roman" w:hAnsi="Times New Roman" w:cs="Times New Roman"/>
          <w:sz w:val="24"/>
          <w:szCs w:val="24"/>
        </w:rPr>
      </w:pPr>
      <w:r w:rsidRPr="00FD3E7F">
        <w:rPr>
          <w:rFonts w:ascii="Times New Roman" w:eastAsia="Times New Roman" w:hAnsi="Times New Roman" w:cs="Times New Roman"/>
          <w:b/>
          <w:bCs/>
          <w:sz w:val="24"/>
          <w:szCs w:val="24"/>
        </w:rPr>
        <w:t xml:space="preserve">Phasing </w:t>
      </w:r>
    </w:p>
    <w:p w14:paraId="74A98056" w14:textId="77777777" w:rsidR="00FD3E7F" w:rsidRPr="00FD3E7F" w:rsidRDefault="00FD3E7F" w:rsidP="00FD3E7F">
      <w:pPr>
        <w:numPr>
          <w:ilvl w:val="0"/>
          <w:numId w:val="7"/>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For ten years, Iran will limit domestic enrichment capacity and research and development – ensuring a breakout timeline of at least one year. Beyond that, Iran will be bound by its longer-</w:t>
      </w:r>
      <w:r w:rsidRPr="00FD3E7F">
        <w:rPr>
          <w:rFonts w:ascii="Times New Roman" w:eastAsia="Times New Roman" w:hAnsi="Times New Roman" w:cs="Times New Roman"/>
          <w:sz w:val="24"/>
          <w:szCs w:val="24"/>
        </w:rPr>
        <w:lastRenderedPageBreak/>
        <w:t>term enrichment and enrichment research and development plan it shared with the P5+1.</w:t>
      </w:r>
      <w:r w:rsidRPr="00FD3E7F">
        <w:rPr>
          <w:rFonts w:ascii="Times New Roman" w:eastAsia="Times New Roman" w:hAnsi="Times New Roman" w:cs="Times New Roman"/>
          <w:sz w:val="24"/>
          <w:szCs w:val="24"/>
        </w:rPr>
        <w:br/>
        <w:t> </w:t>
      </w:r>
    </w:p>
    <w:p w14:paraId="25AD5150" w14:textId="77777777" w:rsidR="00FD3E7F" w:rsidRPr="00FD3E7F" w:rsidRDefault="00FD3E7F" w:rsidP="00FD3E7F">
      <w:pPr>
        <w:numPr>
          <w:ilvl w:val="0"/>
          <w:numId w:val="7"/>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For fifteen years, Iran will limit additional elements of its program. For instance, Iran will not build new enrichment facilities or heavy water reactors and will limit its stockpile of enriched uranium and accept enhanced transparency procedures.</w:t>
      </w:r>
      <w:r w:rsidRPr="00FD3E7F">
        <w:rPr>
          <w:rFonts w:ascii="Times New Roman" w:eastAsia="Times New Roman" w:hAnsi="Times New Roman" w:cs="Times New Roman"/>
          <w:sz w:val="24"/>
          <w:szCs w:val="24"/>
        </w:rPr>
        <w:br/>
        <w:t> </w:t>
      </w:r>
    </w:p>
    <w:p w14:paraId="05153D76" w14:textId="77777777" w:rsidR="00FD3E7F" w:rsidRPr="00FD3E7F" w:rsidRDefault="00FD3E7F" w:rsidP="00FD3E7F">
      <w:pPr>
        <w:numPr>
          <w:ilvl w:val="0"/>
          <w:numId w:val="7"/>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Important inspections and transparency measures will continue well beyond 15 years. Iran’s adherence to the Additional Protocol of the IAEA is permanent, including its significant access and transparency obligations. The robust inspections of Iran’s uranium supply chain will last for 25 years.</w:t>
      </w:r>
      <w:r w:rsidRPr="00FD3E7F">
        <w:rPr>
          <w:rFonts w:ascii="Times New Roman" w:eastAsia="Times New Roman" w:hAnsi="Times New Roman" w:cs="Times New Roman"/>
          <w:sz w:val="24"/>
          <w:szCs w:val="24"/>
        </w:rPr>
        <w:br/>
        <w:t> </w:t>
      </w:r>
    </w:p>
    <w:p w14:paraId="1AE391B7" w14:textId="77777777" w:rsidR="00FD3E7F" w:rsidRPr="00FD3E7F" w:rsidRDefault="00FD3E7F" w:rsidP="00FD3E7F">
      <w:pPr>
        <w:numPr>
          <w:ilvl w:val="0"/>
          <w:numId w:val="7"/>
        </w:numPr>
        <w:shd w:val="clear" w:color="auto" w:fill="FFFFFF"/>
        <w:spacing w:before="100" w:beforeAutospacing="1" w:after="100" w:afterAutospacing="1" w:line="300" w:lineRule="atLeast"/>
        <w:ind w:left="0"/>
        <w:jc w:val="left"/>
        <w:rPr>
          <w:rFonts w:ascii="Times New Roman" w:eastAsia="Times New Roman" w:hAnsi="Times New Roman" w:cs="Times New Roman"/>
          <w:sz w:val="24"/>
          <w:szCs w:val="24"/>
        </w:rPr>
      </w:pPr>
      <w:r w:rsidRPr="00FD3E7F">
        <w:rPr>
          <w:rFonts w:ascii="Times New Roman" w:eastAsia="Times New Roman" w:hAnsi="Times New Roman" w:cs="Times New Roman"/>
          <w:sz w:val="24"/>
          <w:szCs w:val="24"/>
        </w:rPr>
        <w:t>Even after the period of the most stringent limitations on Iran’s nuclear program, Iran will remain a party to the Nuclear Non-Proliferation Treaty (NPT), which prohibits Iran’s development or acquisition of nuclear weapons and requires IAEA safeguards on its nuclear program.</w:t>
      </w:r>
    </w:p>
    <w:p w14:paraId="2759D5A6" w14:textId="77777777" w:rsidR="00C8741F" w:rsidRPr="00FD3E7F" w:rsidRDefault="00C8741F">
      <w:pPr>
        <w:rPr>
          <w:rFonts w:ascii="Times New Roman" w:hAnsi="Times New Roman" w:cs="Times New Roman"/>
          <w:sz w:val="24"/>
          <w:szCs w:val="24"/>
        </w:rPr>
      </w:pPr>
    </w:p>
    <w:sectPr w:rsidR="00C8741F" w:rsidRPr="00FD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605B"/>
    <w:multiLevelType w:val="multilevel"/>
    <w:tmpl w:val="BE12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B44B1"/>
    <w:multiLevelType w:val="multilevel"/>
    <w:tmpl w:val="F78C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E15AE1"/>
    <w:multiLevelType w:val="multilevel"/>
    <w:tmpl w:val="477A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01CD7"/>
    <w:multiLevelType w:val="multilevel"/>
    <w:tmpl w:val="2D1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90EB8"/>
    <w:multiLevelType w:val="multilevel"/>
    <w:tmpl w:val="B294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C5621F"/>
    <w:multiLevelType w:val="multilevel"/>
    <w:tmpl w:val="1F80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A445E3"/>
    <w:multiLevelType w:val="multilevel"/>
    <w:tmpl w:val="A4D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F"/>
    <w:rsid w:val="00C8741F"/>
    <w:rsid w:val="00FD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6BC5"/>
  <w15:chartTrackingRefBased/>
  <w15:docId w15:val="{B40BD6F2-C209-41D4-836E-121F343A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FD3E7F"/>
    <w:pPr>
      <w:spacing w:before="100" w:beforeAutospacing="1" w:after="100" w:afterAutospacing="1" w:line="240" w:lineRule="auto"/>
      <w:jc w:val="left"/>
      <w:outlineLvl w:val="1"/>
    </w:pPr>
    <w:rPr>
      <w:rFonts w:ascii="Verdana" w:eastAsia="Times New Roman" w:hAnsi="Verdana" w:cs="Times New Roman"/>
      <w:b/>
      <w:bCs/>
      <w:color w:val="00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E7F"/>
    <w:rPr>
      <w:rFonts w:ascii="Verdana" w:eastAsia="Times New Roman" w:hAnsi="Verdana" w:cs="Times New Roman"/>
      <w:b/>
      <w:bCs/>
      <w:color w:val="003366"/>
      <w:sz w:val="20"/>
      <w:szCs w:val="20"/>
    </w:rPr>
  </w:style>
  <w:style w:type="paragraph" w:styleId="NormalWeb">
    <w:name w:val="Normal (Web)"/>
    <w:basedOn w:val="Normal"/>
    <w:uiPriority w:val="99"/>
    <w:semiHidden/>
    <w:unhideWhenUsed/>
    <w:rsid w:val="00FD3E7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documenttype-speakerwriter">
    <w:name w:val="document_type_-_speaker_writer"/>
    <w:basedOn w:val="DefaultParagraphFont"/>
    <w:rsid w:val="00FD3E7F"/>
    <w:rPr>
      <w:rFonts w:ascii="Verdana" w:hAnsi="Verdana" w:hint="default"/>
      <w:b/>
      <w:bCs/>
      <w:color w:val="777777"/>
      <w:sz w:val="18"/>
      <w:szCs w:val="18"/>
    </w:rPr>
  </w:style>
  <w:style w:type="character" w:customStyle="1" w:styleId="location-">
    <w:name w:val="location-"/>
    <w:basedOn w:val="DefaultParagraphFont"/>
    <w:rsid w:val="00FD3E7F"/>
    <w:rPr>
      <w:rFonts w:ascii="Verdana" w:hAnsi="Verdana" w:hint="default"/>
      <w:b/>
      <w:bCs/>
      <w:color w:val="000000"/>
      <w:sz w:val="18"/>
      <w:szCs w:val="18"/>
    </w:rPr>
  </w:style>
  <w:style w:type="character" w:customStyle="1" w:styleId="officialsbureau">
    <w:name w:val="official_s_bureau"/>
    <w:basedOn w:val="DefaultParagraphFont"/>
    <w:rsid w:val="00FD3E7F"/>
    <w:rPr>
      <w:rFonts w:ascii="Verdana" w:hAnsi="Verdana"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14890">
      <w:bodyDiv w:val="1"/>
      <w:marLeft w:val="0"/>
      <w:marRight w:val="0"/>
      <w:marTop w:val="0"/>
      <w:marBottom w:val="0"/>
      <w:divBdr>
        <w:top w:val="none" w:sz="0" w:space="0" w:color="auto"/>
        <w:left w:val="none" w:sz="0" w:space="0" w:color="auto"/>
        <w:bottom w:val="none" w:sz="0" w:space="0" w:color="auto"/>
        <w:right w:val="none" w:sz="0" w:space="0" w:color="auto"/>
      </w:divBdr>
      <w:divsChild>
        <w:div w:id="1158034442">
          <w:marLeft w:val="0"/>
          <w:marRight w:val="0"/>
          <w:marTop w:val="0"/>
          <w:marBottom w:val="0"/>
          <w:divBdr>
            <w:top w:val="none" w:sz="0" w:space="0" w:color="auto"/>
            <w:left w:val="none" w:sz="0" w:space="0" w:color="auto"/>
            <w:bottom w:val="none" w:sz="0" w:space="0" w:color="auto"/>
            <w:right w:val="none" w:sz="0" w:space="0" w:color="auto"/>
          </w:divBdr>
          <w:divsChild>
            <w:div w:id="17051329">
              <w:marLeft w:val="0"/>
              <w:marRight w:val="0"/>
              <w:marTop w:val="0"/>
              <w:marBottom w:val="0"/>
              <w:divBdr>
                <w:top w:val="none" w:sz="0" w:space="0" w:color="auto"/>
                <w:left w:val="none" w:sz="0" w:space="0" w:color="auto"/>
                <w:bottom w:val="none" w:sz="0" w:space="0" w:color="auto"/>
                <w:right w:val="none" w:sz="0" w:space="0" w:color="auto"/>
              </w:divBdr>
              <w:divsChild>
                <w:div w:id="1324209">
                  <w:marLeft w:val="0"/>
                  <w:marRight w:val="0"/>
                  <w:marTop w:val="0"/>
                  <w:marBottom w:val="0"/>
                  <w:divBdr>
                    <w:top w:val="none" w:sz="0" w:space="0" w:color="auto"/>
                    <w:left w:val="none" w:sz="0" w:space="0" w:color="auto"/>
                    <w:bottom w:val="none" w:sz="0" w:space="0" w:color="auto"/>
                    <w:right w:val="none" w:sz="0" w:space="0" w:color="auto"/>
                  </w:divBdr>
                  <w:divsChild>
                    <w:div w:id="1766145148">
                      <w:marLeft w:val="0"/>
                      <w:marRight w:val="0"/>
                      <w:marTop w:val="0"/>
                      <w:marBottom w:val="0"/>
                      <w:divBdr>
                        <w:top w:val="none" w:sz="0" w:space="0" w:color="auto"/>
                        <w:left w:val="none" w:sz="0" w:space="0" w:color="auto"/>
                        <w:bottom w:val="none" w:sz="0" w:space="0" w:color="auto"/>
                        <w:right w:val="none" w:sz="0" w:space="0" w:color="auto"/>
                      </w:divBdr>
                      <w:divsChild>
                        <w:div w:id="1636448950">
                          <w:marLeft w:val="0"/>
                          <w:marRight w:val="0"/>
                          <w:marTop w:val="0"/>
                          <w:marBottom w:val="0"/>
                          <w:divBdr>
                            <w:top w:val="none" w:sz="0" w:space="0" w:color="auto"/>
                            <w:left w:val="none" w:sz="0" w:space="0" w:color="auto"/>
                            <w:bottom w:val="none" w:sz="0" w:space="0" w:color="auto"/>
                            <w:right w:val="none" w:sz="0" w:space="0" w:color="auto"/>
                          </w:divBdr>
                          <w:divsChild>
                            <w:div w:id="2070764816">
                              <w:marLeft w:val="0"/>
                              <w:marRight w:val="0"/>
                              <w:marTop w:val="150"/>
                              <w:marBottom w:val="150"/>
                              <w:divBdr>
                                <w:top w:val="none" w:sz="0" w:space="0" w:color="auto"/>
                                <w:left w:val="none" w:sz="0" w:space="0" w:color="auto"/>
                                <w:bottom w:val="none" w:sz="0" w:space="0" w:color="auto"/>
                                <w:right w:val="none" w:sz="0" w:space="0" w:color="auto"/>
                              </w:divBdr>
                              <w:divsChild>
                                <w:div w:id="165216426">
                                  <w:marLeft w:val="0"/>
                                  <w:marRight w:val="0"/>
                                  <w:marTop w:val="0"/>
                                  <w:marBottom w:val="0"/>
                                  <w:divBdr>
                                    <w:top w:val="none" w:sz="0" w:space="0" w:color="auto"/>
                                    <w:left w:val="none" w:sz="0" w:space="0" w:color="auto"/>
                                    <w:bottom w:val="none" w:sz="0" w:space="0" w:color="auto"/>
                                    <w:right w:val="none" w:sz="0" w:space="0" w:color="auto"/>
                                  </w:divBdr>
                                  <w:divsChild>
                                    <w:div w:id="1027562233">
                                      <w:marLeft w:val="0"/>
                                      <w:marRight w:val="0"/>
                                      <w:marTop w:val="0"/>
                                      <w:marBottom w:val="0"/>
                                      <w:divBdr>
                                        <w:top w:val="none" w:sz="0" w:space="0" w:color="auto"/>
                                        <w:left w:val="none" w:sz="0" w:space="0" w:color="auto"/>
                                        <w:bottom w:val="none" w:sz="0" w:space="0" w:color="auto"/>
                                        <w:right w:val="none" w:sz="0" w:space="0" w:color="auto"/>
                                      </w:divBdr>
                                      <w:divsChild>
                                        <w:div w:id="2090883818">
                                          <w:marLeft w:val="0"/>
                                          <w:marRight w:val="0"/>
                                          <w:marTop w:val="0"/>
                                          <w:marBottom w:val="0"/>
                                          <w:divBdr>
                                            <w:top w:val="none" w:sz="0" w:space="0" w:color="auto"/>
                                            <w:left w:val="none" w:sz="0" w:space="0" w:color="auto"/>
                                            <w:bottom w:val="none" w:sz="0" w:space="0" w:color="auto"/>
                                            <w:right w:val="none" w:sz="0" w:space="0" w:color="auto"/>
                                          </w:divBdr>
                                        </w:div>
                                        <w:div w:id="892081618">
                                          <w:marLeft w:val="0"/>
                                          <w:marRight w:val="0"/>
                                          <w:marTop w:val="0"/>
                                          <w:marBottom w:val="0"/>
                                          <w:divBdr>
                                            <w:top w:val="none" w:sz="0" w:space="0" w:color="auto"/>
                                            <w:left w:val="none" w:sz="0" w:space="0" w:color="auto"/>
                                            <w:bottom w:val="none" w:sz="0" w:space="0" w:color="auto"/>
                                            <w:right w:val="none" w:sz="0" w:space="0" w:color="auto"/>
                                          </w:divBdr>
                                          <w:divsChild>
                                            <w:div w:id="1733384653">
                                              <w:marLeft w:val="0"/>
                                              <w:marRight w:val="0"/>
                                              <w:marTop w:val="0"/>
                                              <w:marBottom w:val="0"/>
                                              <w:divBdr>
                                                <w:top w:val="none" w:sz="0" w:space="0" w:color="auto"/>
                                                <w:left w:val="none" w:sz="0" w:space="0" w:color="auto"/>
                                                <w:bottom w:val="none" w:sz="0" w:space="0" w:color="auto"/>
                                                <w:right w:val="none" w:sz="0" w:space="0" w:color="auto"/>
                                              </w:divBdr>
                                            </w:div>
                                          </w:divsChild>
                                        </w:div>
                                        <w:div w:id="601381524">
                                          <w:marLeft w:val="0"/>
                                          <w:marRight w:val="0"/>
                                          <w:marTop w:val="0"/>
                                          <w:marBottom w:val="0"/>
                                          <w:divBdr>
                                            <w:top w:val="none" w:sz="0" w:space="0" w:color="auto"/>
                                            <w:left w:val="none" w:sz="0" w:space="0" w:color="auto"/>
                                            <w:bottom w:val="none" w:sz="0" w:space="0" w:color="auto"/>
                                            <w:right w:val="none" w:sz="0" w:space="0" w:color="auto"/>
                                          </w:divBdr>
                                        </w:div>
                                        <w:div w:id="298415848">
                                          <w:marLeft w:val="0"/>
                                          <w:marRight w:val="0"/>
                                          <w:marTop w:val="0"/>
                                          <w:marBottom w:val="0"/>
                                          <w:divBdr>
                                            <w:top w:val="none" w:sz="0" w:space="0" w:color="auto"/>
                                            <w:left w:val="none" w:sz="0" w:space="0" w:color="auto"/>
                                            <w:bottom w:val="none" w:sz="0" w:space="0" w:color="auto"/>
                                            <w:right w:val="none" w:sz="0" w:space="0" w:color="auto"/>
                                          </w:divBdr>
                                        </w:div>
                                        <w:div w:id="2001688767">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2015-12-10T19:22:00Z</dcterms:created>
  <dcterms:modified xsi:type="dcterms:W3CDTF">2015-12-10T19:22:00Z</dcterms:modified>
</cp:coreProperties>
</file>