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6F" w:rsidRPr="004C286F" w:rsidRDefault="004C286F" w:rsidP="004C286F">
      <w:pPr>
        <w:shd w:val="clear" w:color="auto" w:fill="F6F6F6"/>
        <w:spacing w:line="240" w:lineRule="auto"/>
        <w:rPr>
          <w:rFonts w:ascii="gss bold" w:eastAsia="Times New Roman" w:hAnsi="gss bold" w:cs="Times New Roman"/>
          <w:sz w:val="27"/>
          <w:szCs w:val="27"/>
        </w:rPr>
      </w:pPr>
      <w:bookmarkStart w:id="0" w:name="_GoBack"/>
      <w:r w:rsidRPr="004C286F">
        <w:rPr>
          <w:rFonts w:ascii="gss bold" w:eastAsia="Times New Roman" w:hAnsi="gss bold" w:cs="Times New Roman"/>
          <w:sz w:val="27"/>
          <w:szCs w:val="27"/>
        </w:rPr>
        <w:t>Al-Haq Sends Letters to Corporations Complicit in the Denial of Palestinian Access to and Ownership of Water in the OPT</w:t>
      </w:r>
    </w:p>
    <w:p w:rsidR="004C286F" w:rsidRPr="004C286F" w:rsidRDefault="004C286F" w:rsidP="004C286F">
      <w:pPr>
        <w:shd w:val="clear" w:color="auto" w:fill="F6F6F6"/>
        <w:spacing w:line="240" w:lineRule="auto"/>
        <w:rPr>
          <w:rFonts w:ascii="gss medium" w:eastAsia="Times New Roman" w:hAnsi="gss medium" w:cs="Times New Roman"/>
          <w:sz w:val="21"/>
          <w:szCs w:val="21"/>
        </w:rPr>
      </w:pPr>
      <w:r w:rsidRPr="004C286F">
        <w:rPr>
          <w:rFonts w:ascii="gss medium" w:eastAsia="Times New Roman" w:hAnsi="gss medium" w:cs="Times New Roman"/>
          <w:sz w:val="21"/>
          <w:szCs w:val="21"/>
        </w:rPr>
        <w:t>13، Jul 2022</w:t>
      </w:r>
    </w:p>
    <w:p w:rsidR="004C286F" w:rsidRPr="004C286F" w:rsidRDefault="004C286F" w:rsidP="004C286F">
      <w:pPr>
        <w:shd w:val="clear" w:color="auto" w:fill="F6F6F6"/>
        <w:spacing w:line="240" w:lineRule="auto"/>
        <w:rPr>
          <w:rFonts w:ascii="gss medium" w:eastAsia="Times New Roman" w:hAnsi="gss medium" w:cs="Times New Roman"/>
          <w:sz w:val="21"/>
          <w:szCs w:val="21"/>
        </w:rPr>
      </w:pPr>
      <w:hyperlink r:id="rId4" w:history="1">
        <w:r w:rsidRPr="004C286F">
          <w:rPr>
            <w:rStyle w:val="Hyperlink"/>
            <w:rFonts w:ascii="gss medium" w:eastAsia="Times New Roman" w:hAnsi="gss medium" w:cs="Times New Roman"/>
            <w:color w:val="auto"/>
            <w:sz w:val="21"/>
            <w:szCs w:val="21"/>
          </w:rPr>
          <w:t>https://www.alhaq.org/advocacy/20282.html</w:t>
        </w:r>
      </w:hyperlink>
      <w:r w:rsidRPr="004C286F">
        <w:rPr>
          <w:rFonts w:ascii="gss medium" w:eastAsia="Times New Roman" w:hAnsi="gss medium" w:cs="Times New Roman"/>
          <w:sz w:val="21"/>
          <w:szCs w:val="21"/>
        </w:rPr>
        <w:t xml:space="preserve"> </w:t>
      </w:r>
    </w:p>
    <w:p w:rsidR="004C286F" w:rsidRPr="004C286F" w:rsidRDefault="004C286F" w:rsidP="004C286F">
      <w:pPr>
        <w:shd w:val="clear" w:color="auto" w:fill="F6F6F6"/>
        <w:spacing w:line="240" w:lineRule="auto"/>
        <w:jc w:val="both"/>
        <w:rPr>
          <w:rFonts w:ascii="gss medium" w:eastAsia="Times New Roman" w:hAnsi="gss medium" w:cs="Times New Roman"/>
          <w:sz w:val="23"/>
          <w:szCs w:val="23"/>
        </w:rPr>
      </w:pPr>
      <w:r w:rsidRPr="004C286F">
        <w:rPr>
          <w:rFonts w:ascii="gss medium" w:eastAsia="Times New Roman" w:hAnsi="gss medium" w:cs="Times New Roman"/>
          <w:noProof/>
          <w:sz w:val="23"/>
          <w:szCs w:val="23"/>
        </w:rPr>
        <w:drawing>
          <wp:inline distT="0" distB="0" distL="0" distR="0">
            <wp:extent cx="2495550" cy="1657350"/>
            <wp:effectExtent l="0" t="0" r="0" b="0"/>
            <wp:docPr id="1" name="Picture 1" descr="Al-Haq Sends Letters to Corporations Complicit in the Denial of Palestinian Access to and Ownership of Water in the OPT">
              <a:hlinkClick xmlns:a="http://schemas.openxmlformats.org/drawingml/2006/main" r:id="rId5" tooltip="&quot;Al-Haq Sends Letters to Corporations Complicit in the Denial of Palestinian Access to and Ownership of Water in the OP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aq Sends Letters to Corporations Complicit in the Denial of Palestinian Access to and Ownership of Water in the OPT">
                      <a:hlinkClick r:id="rId5" tooltip="&quot;Al-Haq Sends Letters to Corporations Complicit in the Denial of Palestinian Access to and Ownership of Water in the OP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eastAsia="Times New Roman" w:cs="Times New Roman"/>
          <w:szCs w:val="24"/>
        </w:rPr>
        <w:t>On May 25, Al-Haq sent letters to several corporations highlighted in Al-Haq’s upcoming report on corporate complicity in denying Palestinian’s access to and pillaging water resources in the Occupied Palestinian Territory, in violation of Palestinians’ right to self-determination and permanent sovereignty over natural resources. </w:t>
      </w:r>
      <w:proofErr w:type="spellStart"/>
      <w:r w:rsidRPr="004C286F">
        <w:rPr>
          <w:rFonts w:eastAsia="Times New Roman" w:cs="Times New Roman"/>
          <w:b/>
          <w:bCs/>
          <w:szCs w:val="24"/>
          <w:lang w:val="en-GB"/>
        </w:rPr>
        <w:t>Merkorot</w:t>
      </w:r>
      <w:proofErr w:type="spellEnd"/>
      <w:r w:rsidRPr="004C286F">
        <w:rPr>
          <w:rFonts w:eastAsia="Times New Roman" w:cs="Times New Roman"/>
          <w:b/>
          <w:bCs/>
          <w:szCs w:val="24"/>
          <w:lang w:val="en-GB"/>
        </w:rPr>
        <w:t xml:space="preserve"> Water Company Ltd</w:t>
      </w:r>
      <w:r w:rsidRPr="004C286F">
        <w:rPr>
          <w:rFonts w:eastAsia="Times New Roman" w:cs="Times New Roman"/>
          <w:szCs w:val="24"/>
          <w:lang w:val="en-GB"/>
        </w:rPr>
        <w:t>., </w:t>
      </w:r>
      <w:proofErr w:type="spellStart"/>
      <w:r w:rsidRPr="004C286F">
        <w:rPr>
          <w:rFonts w:eastAsia="Times New Roman" w:cs="Times New Roman"/>
          <w:b/>
          <w:bCs/>
          <w:szCs w:val="24"/>
          <w:lang w:val="en-GB"/>
        </w:rPr>
        <w:t>Hagihon</w:t>
      </w:r>
      <w:proofErr w:type="spellEnd"/>
      <w:r w:rsidRPr="004C286F">
        <w:rPr>
          <w:rFonts w:eastAsia="Times New Roman" w:cs="Times New Roman"/>
          <w:b/>
          <w:bCs/>
          <w:szCs w:val="24"/>
          <w:lang w:val="en-GB"/>
        </w:rPr>
        <w:t xml:space="preserve"> Company</w:t>
      </w:r>
      <w:r w:rsidRPr="004C286F">
        <w:rPr>
          <w:rFonts w:eastAsia="Times New Roman" w:cs="Times New Roman"/>
          <w:szCs w:val="24"/>
          <w:lang w:val="en-GB"/>
        </w:rPr>
        <w:t>, </w:t>
      </w:r>
      <w:r w:rsidRPr="004C286F">
        <w:rPr>
          <w:rFonts w:eastAsia="Times New Roman" w:cs="Times New Roman"/>
          <w:b/>
          <w:bCs/>
          <w:szCs w:val="24"/>
          <w:lang w:val="en-GB"/>
        </w:rPr>
        <w:t>TAHAL Group International B.V.</w:t>
      </w:r>
      <w:r w:rsidRPr="004C286F">
        <w:rPr>
          <w:rFonts w:eastAsia="Times New Roman" w:cs="Times New Roman"/>
          <w:szCs w:val="24"/>
          <w:lang w:val="en-GB"/>
        </w:rPr>
        <w:t>, </w:t>
      </w:r>
      <w:r w:rsidRPr="004C286F">
        <w:rPr>
          <w:rFonts w:eastAsia="Times New Roman" w:cs="Times New Roman"/>
          <w:b/>
          <w:bCs/>
          <w:szCs w:val="24"/>
          <w:lang w:val="en-GB"/>
        </w:rPr>
        <w:t>Hyundai</w:t>
      </w:r>
      <w:r w:rsidRPr="004C286F">
        <w:rPr>
          <w:rFonts w:eastAsia="Times New Roman" w:cs="Times New Roman"/>
          <w:szCs w:val="24"/>
          <w:lang w:val="en-GB"/>
        </w:rPr>
        <w:t>, </w:t>
      </w:r>
      <w:r w:rsidRPr="004C286F">
        <w:rPr>
          <w:rFonts w:eastAsia="Times New Roman" w:cs="Times New Roman"/>
          <w:b/>
          <w:bCs/>
          <w:szCs w:val="24"/>
          <w:lang w:val="en-GB"/>
        </w:rPr>
        <w:t>Caterpillar Inc.</w:t>
      </w:r>
      <w:r w:rsidRPr="004C286F">
        <w:rPr>
          <w:rFonts w:eastAsia="Times New Roman" w:cs="Times New Roman"/>
          <w:szCs w:val="24"/>
          <w:lang w:val="en-GB"/>
        </w:rPr>
        <w:t>, </w:t>
      </w:r>
      <w:r w:rsidRPr="004C286F">
        <w:rPr>
          <w:rFonts w:eastAsia="Times New Roman" w:cs="Times New Roman"/>
          <w:b/>
          <w:bCs/>
          <w:szCs w:val="24"/>
          <w:lang w:val="en"/>
        </w:rPr>
        <w:t>JC Bamford Excavators Ltd.</w:t>
      </w:r>
      <w:r w:rsidRPr="004C286F">
        <w:rPr>
          <w:rFonts w:eastAsia="Times New Roman" w:cs="Times New Roman"/>
          <w:szCs w:val="24"/>
          <w:lang w:val="en-GB"/>
        </w:rPr>
        <w:t>, and </w:t>
      </w:r>
      <w:r w:rsidRPr="004C286F">
        <w:rPr>
          <w:rFonts w:eastAsia="Times New Roman" w:cs="Times New Roman"/>
          <w:b/>
          <w:bCs/>
          <w:szCs w:val="24"/>
          <w:lang w:val="en-GB"/>
        </w:rPr>
        <w:t>Volvo Car Group</w:t>
      </w:r>
      <w:r w:rsidRPr="004C286F">
        <w:rPr>
          <w:rFonts w:ascii="Calibri" w:eastAsia="Times New Roman" w:hAnsi="Calibri" w:cs="Calibri"/>
          <w:szCs w:val="24"/>
        </w:rPr>
        <w:t> </w:t>
      </w:r>
      <w:r w:rsidRPr="004C286F">
        <w:rPr>
          <w:rFonts w:eastAsia="Times New Roman" w:cs="Times New Roman"/>
          <w:szCs w:val="24"/>
        </w:rPr>
        <w:t xml:space="preserve">were contacted about their feature in the report and were extended the opportunity to provide comment about their active compliance in the dispossession </w:t>
      </w:r>
      <w:proofErr w:type="gramStart"/>
      <w:r w:rsidRPr="004C286F">
        <w:rPr>
          <w:rFonts w:eastAsia="Times New Roman" w:cs="Times New Roman"/>
          <w:szCs w:val="24"/>
        </w:rPr>
        <w:t>of</w:t>
      </w:r>
      <w:proofErr w:type="gramEnd"/>
      <w:r w:rsidRPr="004C286F">
        <w:rPr>
          <w:rFonts w:eastAsia="Times New Roman" w:cs="Times New Roman"/>
          <w:szCs w:val="24"/>
        </w:rPr>
        <w:t xml:space="preserve"> Palestinian water sources and restriction of Palestinian water access.</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eastAsia="Times New Roman" w:cs="Times New Roman"/>
          <w:szCs w:val="24"/>
        </w:rPr>
        <w:t xml:space="preserve">Al-Haq’s report details how corporations increasingly enable Israel’s appropriation of water by sustaining the ongoing dispossession of the already restricted water access to Palestinian communities. For example, </w:t>
      </w:r>
      <w:proofErr w:type="spellStart"/>
      <w:r w:rsidRPr="004C286F">
        <w:rPr>
          <w:rFonts w:eastAsia="Times New Roman" w:cs="Times New Roman"/>
          <w:szCs w:val="24"/>
        </w:rPr>
        <w:t>Mekorot</w:t>
      </w:r>
      <w:proofErr w:type="spellEnd"/>
      <w:r w:rsidRPr="004C286F">
        <w:rPr>
          <w:rFonts w:eastAsia="Times New Roman" w:cs="Times New Roman"/>
          <w:szCs w:val="24"/>
        </w:rPr>
        <w:t>, Israel’s national water company, extracts an amount of water from the OPT that exceeds the usufruct rule of the Hague Regulations and is, thus, in violation of international humanitarian law (IHL).</w:t>
      </w:r>
      <w:bookmarkStart w:id="1" w:name="_ftnref1"/>
      <w:r w:rsidRPr="004C286F">
        <w:rPr>
          <w:rFonts w:eastAsia="Times New Roman" w:cs="Times New Roman"/>
          <w:szCs w:val="24"/>
        </w:rPr>
        <w:fldChar w:fldCharType="begin"/>
      </w:r>
      <w:r w:rsidRPr="004C286F">
        <w:rPr>
          <w:rFonts w:eastAsia="Times New Roman" w:cs="Times New Roman"/>
          <w:szCs w:val="24"/>
        </w:rPr>
        <w:instrText xml:space="preserve"> HYPERLINK "https://www.alhaq.org/advocacy/20282.html" \l "_ftn1" \o "" </w:instrText>
      </w:r>
      <w:r w:rsidRPr="004C286F">
        <w:rPr>
          <w:rFonts w:eastAsia="Times New Roman" w:cs="Times New Roman"/>
          <w:szCs w:val="24"/>
        </w:rPr>
        <w:fldChar w:fldCharType="separate"/>
      </w:r>
      <w:r w:rsidRPr="004C286F">
        <w:rPr>
          <w:rFonts w:eastAsia="Times New Roman" w:cs="Times New Roman"/>
          <w:szCs w:val="24"/>
          <w:u w:val="single"/>
          <w:vertAlign w:val="superscript"/>
        </w:rPr>
        <w:t>[1]</w:t>
      </w:r>
      <w:r w:rsidRPr="004C286F">
        <w:rPr>
          <w:rFonts w:eastAsia="Times New Roman" w:cs="Times New Roman"/>
          <w:szCs w:val="24"/>
        </w:rPr>
        <w:fldChar w:fldCharType="end"/>
      </w:r>
      <w:bookmarkEnd w:id="1"/>
      <w:r w:rsidRPr="004C286F">
        <w:rPr>
          <w:rFonts w:eastAsia="Times New Roman" w:cs="Times New Roman"/>
          <w:szCs w:val="24"/>
        </w:rPr>
        <w:t xml:space="preserve"> By illegally appropriating large water quantities from Palestinians, </w:t>
      </w:r>
      <w:proofErr w:type="spellStart"/>
      <w:r w:rsidRPr="004C286F">
        <w:rPr>
          <w:rFonts w:eastAsia="Times New Roman" w:cs="Times New Roman"/>
          <w:szCs w:val="24"/>
        </w:rPr>
        <w:t>Mekorot’s</w:t>
      </w:r>
      <w:proofErr w:type="spellEnd"/>
      <w:r w:rsidRPr="004C286F">
        <w:rPr>
          <w:rFonts w:eastAsia="Times New Roman" w:cs="Times New Roman"/>
          <w:szCs w:val="24"/>
        </w:rPr>
        <w:t xml:space="preserve"> actions may amount to the war crime of pillage.</w:t>
      </w:r>
      <w:bookmarkStart w:id="2" w:name="_ftnref2"/>
      <w:r w:rsidRPr="004C286F">
        <w:rPr>
          <w:rFonts w:eastAsia="Times New Roman" w:cs="Times New Roman"/>
          <w:szCs w:val="24"/>
        </w:rPr>
        <w:fldChar w:fldCharType="begin"/>
      </w:r>
      <w:r w:rsidRPr="004C286F">
        <w:rPr>
          <w:rFonts w:eastAsia="Times New Roman" w:cs="Times New Roman"/>
          <w:szCs w:val="24"/>
        </w:rPr>
        <w:instrText xml:space="preserve"> HYPERLINK "https://www.alhaq.org/advocacy/20282.html" \l "_ftn2" \o "" </w:instrText>
      </w:r>
      <w:r w:rsidRPr="004C286F">
        <w:rPr>
          <w:rFonts w:eastAsia="Times New Roman" w:cs="Times New Roman"/>
          <w:szCs w:val="24"/>
        </w:rPr>
        <w:fldChar w:fldCharType="separate"/>
      </w:r>
      <w:r w:rsidRPr="004C286F">
        <w:rPr>
          <w:rFonts w:eastAsia="Times New Roman" w:cs="Times New Roman"/>
          <w:szCs w:val="24"/>
          <w:u w:val="single"/>
          <w:vertAlign w:val="superscript"/>
        </w:rPr>
        <w:t>[2]</w:t>
      </w:r>
      <w:r w:rsidRPr="004C286F">
        <w:rPr>
          <w:rFonts w:eastAsia="Times New Roman" w:cs="Times New Roman"/>
          <w:szCs w:val="24"/>
        </w:rPr>
        <w:fldChar w:fldCharType="end"/>
      </w:r>
      <w:bookmarkEnd w:id="2"/>
      <w:r w:rsidRPr="004C286F">
        <w:rPr>
          <w:rFonts w:eastAsia="Times New Roman" w:cs="Times New Roman"/>
          <w:szCs w:val="24"/>
          <w:vertAlign w:val="superscript"/>
        </w:rPr>
        <w:t> </w:t>
      </w:r>
      <w:r w:rsidRPr="004C286F">
        <w:rPr>
          <w:rFonts w:eastAsia="Times New Roman" w:cs="Times New Roman"/>
          <w:szCs w:val="24"/>
        </w:rPr>
        <w:t> </w:t>
      </w:r>
      <w:proofErr w:type="spellStart"/>
      <w:r w:rsidRPr="004C286F">
        <w:rPr>
          <w:rFonts w:eastAsia="Times New Roman" w:cs="Times New Roman"/>
          <w:szCs w:val="24"/>
        </w:rPr>
        <w:t>Mekorot’s</w:t>
      </w:r>
      <w:proofErr w:type="spellEnd"/>
      <w:r w:rsidRPr="004C286F">
        <w:rPr>
          <w:rFonts w:eastAsia="Times New Roman" w:cs="Times New Roman"/>
          <w:szCs w:val="24"/>
        </w:rPr>
        <w:t xml:space="preserve"> drilling of illegal wells, along with TAHAL’s infrastructural support, serves illegal Israeli settlements with an unlimited supply of water, while simultaneously restricting water supply for Palestinian communities in the same region. This sustains the transfer of a foreign population into the OPT, constituting a violation of Article 49 of the Fourth Geneva Convention.</w:t>
      </w:r>
      <w:bookmarkStart w:id="3" w:name="_ftnref3"/>
      <w:r w:rsidRPr="004C286F">
        <w:rPr>
          <w:rFonts w:eastAsia="Times New Roman" w:cs="Times New Roman"/>
          <w:szCs w:val="24"/>
        </w:rPr>
        <w:fldChar w:fldCharType="begin"/>
      </w:r>
      <w:r w:rsidRPr="004C286F">
        <w:rPr>
          <w:rFonts w:eastAsia="Times New Roman" w:cs="Times New Roman"/>
          <w:szCs w:val="24"/>
        </w:rPr>
        <w:instrText xml:space="preserve"> HYPERLINK "https://www.alhaq.org/advocacy/20282.html" \l "_ftn3" \o "" </w:instrText>
      </w:r>
      <w:r w:rsidRPr="004C286F">
        <w:rPr>
          <w:rFonts w:eastAsia="Times New Roman" w:cs="Times New Roman"/>
          <w:szCs w:val="24"/>
        </w:rPr>
        <w:fldChar w:fldCharType="separate"/>
      </w:r>
      <w:r w:rsidRPr="004C286F">
        <w:rPr>
          <w:rFonts w:eastAsia="Times New Roman" w:cs="Times New Roman"/>
          <w:szCs w:val="24"/>
          <w:u w:val="single"/>
          <w:vertAlign w:val="superscript"/>
        </w:rPr>
        <w:t>[3]</w:t>
      </w:r>
      <w:r w:rsidRPr="004C286F">
        <w:rPr>
          <w:rFonts w:eastAsia="Times New Roman" w:cs="Times New Roman"/>
          <w:szCs w:val="24"/>
        </w:rPr>
        <w:fldChar w:fldCharType="end"/>
      </w:r>
      <w:bookmarkEnd w:id="3"/>
      <w:r w:rsidRPr="004C286F">
        <w:rPr>
          <w:rFonts w:eastAsia="Times New Roman" w:cs="Times New Roman"/>
          <w:szCs w:val="24"/>
          <w:vertAlign w:val="superscript"/>
        </w:rPr>
        <w:t> </w:t>
      </w:r>
      <w:r w:rsidRPr="004C286F">
        <w:rPr>
          <w:rFonts w:ascii="Calibri" w:eastAsia="Times New Roman" w:hAnsi="Calibri" w:cs="Calibri"/>
          <w:szCs w:val="24"/>
        </w:rPr>
        <w:t xml:space="preserve">Through these actions, </w:t>
      </w:r>
      <w:proofErr w:type="spellStart"/>
      <w:r w:rsidRPr="004C286F">
        <w:rPr>
          <w:rFonts w:ascii="Calibri" w:eastAsia="Times New Roman" w:hAnsi="Calibri" w:cs="Calibri"/>
          <w:szCs w:val="24"/>
        </w:rPr>
        <w:t>Mekorot</w:t>
      </w:r>
      <w:proofErr w:type="spellEnd"/>
      <w:r w:rsidRPr="004C286F">
        <w:rPr>
          <w:rFonts w:ascii="Calibri" w:eastAsia="Times New Roman" w:hAnsi="Calibri" w:cs="Calibri"/>
          <w:szCs w:val="24"/>
        </w:rPr>
        <w:t>, and many other corporations, blatantly violate Palestinians’ means of subsistence, a violation of Article 1(2) of </w:t>
      </w:r>
      <w:r w:rsidRPr="004C286F">
        <w:rPr>
          <w:rFonts w:ascii="Calibri" w:eastAsia="Times New Roman" w:hAnsi="Calibri" w:cs="Calibri"/>
          <w:szCs w:val="24"/>
          <w:shd w:val="clear" w:color="auto" w:fill="FFFFFF"/>
        </w:rPr>
        <w:t>the International Covenant on Civil and Political Rights </w:t>
      </w:r>
      <w:r w:rsidRPr="004C286F">
        <w:rPr>
          <w:rFonts w:ascii="Calibri" w:eastAsia="Times New Roman" w:hAnsi="Calibri" w:cs="Calibri"/>
          <w:szCs w:val="24"/>
        </w:rPr>
        <w:t>and Article 1(2) of </w:t>
      </w:r>
      <w:r w:rsidRPr="004C286F">
        <w:rPr>
          <w:rFonts w:ascii="Calibri" w:eastAsia="Times New Roman" w:hAnsi="Calibri" w:cs="Calibri"/>
          <w:szCs w:val="24"/>
          <w:shd w:val="clear" w:color="auto" w:fill="FFFFFF"/>
        </w:rPr>
        <w:t>the International Covenant on Economic, Social and Cultural Rights.</w:t>
      </w:r>
      <w:bookmarkStart w:id="4" w:name="_ftnref4"/>
      <w:r w:rsidRPr="004C286F">
        <w:rPr>
          <w:rFonts w:ascii="Calibri" w:eastAsia="Times New Roman" w:hAnsi="Calibri" w:cs="Calibri"/>
          <w:szCs w:val="24"/>
          <w:shd w:val="clear" w:color="auto" w:fill="FFFFFF"/>
        </w:rPr>
        <w:fldChar w:fldCharType="begin"/>
      </w:r>
      <w:r w:rsidRPr="004C286F">
        <w:rPr>
          <w:rFonts w:ascii="Calibri" w:eastAsia="Times New Roman" w:hAnsi="Calibri" w:cs="Calibri"/>
          <w:szCs w:val="24"/>
          <w:shd w:val="clear" w:color="auto" w:fill="FFFFFF"/>
        </w:rPr>
        <w:instrText xml:space="preserve"> HYPERLINK "https://www.alhaq.org/advocacy/20282.html" \l "_ftn4" \o "" </w:instrText>
      </w:r>
      <w:r w:rsidRPr="004C286F">
        <w:rPr>
          <w:rFonts w:ascii="Calibri" w:eastAsia="Times New Roman" w:hAnsi="Calibri" w:cs="Calibri"/>
          <w:szCs w:val="24"/>
          <w:shd w:val="clear" w:color="auto" w:fill="FFFFFF"/>
        </w:rPr>
        <w:fldChar w:fldCharType="separate"/>
      </w:r>
      <w:r w:rsidRPr="004C286F">
        <w:rPr>
          <w:rFonts w:ascii="Calibri" w:eastAsia="Times New Roman" w:hAnsi="Calibri" w:cs="Calibri"/>
          <w:szCs w:val="24"/>
          <w:u w:val="single"/>
          <w:shd w:val="clear" w:color="auto" w:fill="FFFFFF"/>
        </w:rPr>
        <w:t>[4]</w:t>
      </w:r>
      <w:r w:rsidRPr="004C286F">
        <w:rPr>
          <w:rFonts w:ascii="Calibri" w:eastAsia="Times New Roman" w:hAnsi="Calibri" w:cs="Calibri"/>
          <w:szCs w:val="24"/>
          <w:shd w:val="clear" w:color="auto" w:fill="FFFFFF"/>
        </w:rPr>
        <w:fldChar w:fldCharType="end"/>
      </w:r>
      <w:bookmarkEnd w:id="4"/>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eastAsia="Times New Roman" w:cs="Times New Roman"/>
          <w:szCs w:val="24"/>
        </w:rPr>
        <w:t>Corporations have an obligation to respect the rights of individuals and communities to water and other natural resources. In accordance with international law and the UN Guiding Principles on Business and Human Rights, all corporations operating in the OPT must comply with IHL and international human rights law through the cessation of all business in illegal Israeli settlements and establish policies that seek to prevent human rights violations during their operations and trade.</w:t>
      </w:r>
      <w:bookmarkStart w:id="5" w:name="_ftnref5"/>
      <w:r w:rsidRPr="004C286F">
        <w:rPr>
          <w:rFonts w:eastAsia="Times New Roman" w:cs="Times New Roman"/>
          <w:szCs w:val="24"/>
        </w:rPr>
        <w:fldChar w:fldCharType="begin"/>
      </w:r>
      <w:r w:rsidRPr="004C286F">
        <w:rPr>
          <w:rFonts w:eastAsia="Times New Roman" w:cs="Times New Roman"/>
          <w:szCs w:val="24"/>
        </w:rPr>
        <w:instrText xml:space="preserve"> HYPERLINK "https://www.alhaq.org/advocacy/20282.html" \l "_ftn5" \o "" </w:instrText>
      </w:r>
      <w:r w:rsidRPr="004C286F">
        <w:rPr>
          <w:rFonts w:eastAsia="Times New Roman" w:cs="Times New Roman"/>
          <w:szCs w:val="24"/>
        </w:rPr>
        <w:fldChar w:fldCharType="separate"/>
      </w:r>
      <w:r w:rsidRPr="004C286F">
        <w:rPr>
          <w:rFonts w:eastAsia="Times New Roman" w:cs="Times New Roman"/>
          <w:szCs w:val="24"/>
          <w:u w:val="single"/>
          <w:vertAlign w:val="superscript"/>
        </w:rPr>
        <w:t>[5]</w:t>
      </w:r>
      <w:r w:rsidRPr="004C286F">
        <w:rPr>
          <w:rFonts w:eastAsia="Times New Roman" w:cs="Times New Roman"/>
          <w:szCs w:val="24"/>
        </w:rPr>
        <w:fldChar w:fldCharType="end"/>
      </w:r>
      <w:bookmarkEnd w:id="5"/>
      <w:r w:rsidRPr="004C286F">
        <w:rPr>
          <w:rFonts w:eastAsia="Times New Roman" w:cs="Times New Roman"/>
          <w:szCs w:val="24"/>
        </w:rPr>
        <w:t xml:space="preserve"> In conflict affected areas, such as the OPT, businesses are required to practice enhanced due diligence in understanding their impact on and ensuring compliance with human rights, as </w:t>
      </w:r>
      <w:r w:rsidRPr="004C286F">
        <w:rPr>
          <w:rFonts w:eastAsia="Times New Roman" w:cs="Times New Roman"/>
          <w:szCs w:val="24"/>
        </w:rPr>
        <w:lastRenderedPageBreak/>
        <w:t>established by international law.</w:t>
      </w:r>
      <w:bookmarkStart w:id="6" w:name="_ftnref6"/>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"_ftn6" \o "" </w:instrText>
      </w:r>
      <w:r w:rsidRPr="004C286F">
        <w:rPr>
          <w:rFonts w:ascii="Calibri" w:eastAsia="Times New Roman" w:hAnsi="Calibri" w:cs="Calibri"/>
          <w:szCs w:val="24"/>
        </w:rPr>
        <w:fldChar w:fldCharType="separate"/>
      </w:r>
      <w:r w:rsidRPr="004C286F">
        <w:rPr>
          <w:rFonts w:ascii="Calibri" w:eastAsia="Times New Roman" w:hAnsi="Calibri" w:cs="Calibri"/>
          <w:szCs w:val="24"/>
          <w:u w:val="single"/>
          <w:vertAlign w:val="superscript"/>
        </w:rPr>
        <w:t>[6]</w:t>
      </w:r>
      <w:r w:rsidRPr="004C286F">
        <w:rPr>
          <w:rFonts w:ascii="Calibri" w:eastAsia="Times New Roman" w:hAnsi="Calibri" w:cs="Calibri"/>
          <w:szCs w:val="24"/>
        </w:rPr>
        <w:fldChar w:fldCharType="end"/>
      </w:r>
      <w:bookmarkEnd w:id="6"/>
      <w:r w:rsidRPr="004C286F">
        <w:rPr>
          <w:rFonts w:eastAsia="Times New Roman" w:cs="Times New Roman"/>
          <w:szCs w:val="24"/>
        </w:rPr>
        <w:t> A company that benefits from the opportunities or environment created by human rights violations, even indirectly, may be found complicit in those violations.</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eastAsia="Times New Roman" w:cs="Times New Roman"/>
          <w:szCs w:val="24"/>
        </w:rPr>
        <w:t>Several of the corporations named in the report include, in their company policies, a commitment to respecting human rights and avoiding causing or contributing to adverse human rights impacts</w:t>
      </w:r>
      <w:proofErr w:type="gramStart"/>
      <w:r w:rsidRPr="004C286F">
        <w:rPr>
          <w:rFonts w:eastAsia="Times New Roman" w:cs="Times New Roman"/>
          <w:szCs w:val="24"/>
        </w:rPr>
        <w:t>,</w:t>
      </w:r>
      <w:bookmarkStart w:id="7" w:name="_ftnref7"/>
      <w:proofErr w:type="gramEnd"/>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"_ftn7" \o "" </w:instrText>
      </w:r>
      <w:r w:rsidRPr="004C286F">
        <w:rPr>
          <w:rFonts w:ascii="Calibri" w:eastAsia="Times New Roman" w:hAnsi="Calibri" w:cs="Calibri"/>
          <w:szCs w:val="24"/>
        </w:rPr>
        <w:fldChar w:fldCharType="separate"/>
      </w:r>
      <w:r w:rsidRPr="004C286F">
        <w:rPr>
          <w:rFonts w:ascii="Calibri" w:eastAsia="Times New Roman" w:hAnsi="Calibri" w:cs="Calibri"/>
          <w:szCs w:val="24"/>
          <w:u w:val="single"/>
          <w:vertAlign w:val="superscript"/>
        </w:rPr>
        <w:t>[7]</w:t>
      </w:r>
      <w:r w:rsidRPr="004C286F">
        <w:rPr>
          <w:rFonts w:ascii="Calibri" w:eastAsia="Times New Roman" w:hAnsi="Calibri" w:cs="Calibri"/>
          <w:szCs w:val="24"/>
        </w:rPr>
        <w:fldChar w:fldCharType="end"/>
      </w:r>
      <w:bookmarkEnd w:id="7"/>
      <w:r w:rsidRPr="004C286F">
        <w:rPr>
          <w:rFonts w:eastAsia="Times New Roman" w:cs="Times New Roman"/>
          <w:szCs w:val="24"/>
        </w:rPr>
        <w:t> which is of grave concern considering their complicity with the extensive destruction and appropriation of Palestinian water property and through the active removal of Palestinian’s preservation of water.</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Calibri" w:eastAsia="Times New Roman" w:hAnsi="Calibri" w:cs="Calibri"/>
          <w:szCs w:val="24"/>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eastAsia="Times New Roman" w:cs="Times New Roman"/>
          <w:szCs w:val="24"/>
        </w:rPr>
        <w:t xml:space="preserve">The overall objective of Israel continues to be the expropriation of Palestinian land and resources to manipulate and engineer the demographic composition by transferring Palestinians to create and expand Jewish settlements on both sides of the Green Line. It is through this objective that widespread and systematic human rights violations against the Palestinian people, while fragmenting the West Bank and isolating it from Jerusalem, and rendering sustainable and independent social and economic development for Palestinians in the OPT impossible to achieve. These acts have been condemned as apartheid by the UN Special Rapporteur for the Occupied Palestinian Territory, Michael </w:t>
      </w:r>
      <w:proofErr w:type="spellStart"/>
      <w:r w:rsidRPr="004C286F">
        <w:rPr>
          <w:rFonts w:eastAsia="Times New Roman" w:cs="Times New Roman"/>
          <w:szCs w:val="24"/>
        </w:rPr>
        <w:t>Lynk</w:t>
      </w:r>
      <w:proofErr w:type="spellEnd"/>
      <w:r w:rsidRPr="004C286F">
        <w:rPr>
          <w:rFonts w:eastAsia="Times New Roman" w:cs="Times New Roman"/>
          <w:szCs w:val="24"/>
        </w:rPr>
        <w:t>.</w:t>
      </w:r>
      <w:bookmarkStart w:id="8" w:name="_ftnref8"/>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"_ftn8" \o "" </w:instrText>
      </w:r>
      <w:r w:rsidRPr="004C286F">
        <w:rPr>
          <w:rFonts w:ascii="Calibri" w:eastAsia="Times New Roman" w:hAnsi="Calibri" w:cs="Calibri"/>
          <w:szCs w:val="24"/>
        </w:rPr>
        <w:fldChar w:fldCharType="separate"/>
      </w:r>
      <w:r w:rsidRPr="004C286F">
        <w:rPr>
          <w:rFonts w:ascii="Calibri" w:eastAsia="Times New Roman" w:hAnsi="Calibri" w:cs="Calibri"/>
          <w:szCs w:val="24"/>
          <w:u w:val="single"/>
          <w:vertAlign w:val="superscript"/>
        </w:rPr>
        <w:t>[8]</w:t>
      </w:r>
      <w:r w:rsidRPr="004C286F">
        <w:rPr>
          <w:rFonts w:ascii="Calibri" w:eastAsia="Times New Roman" w:hAnsi="Calibri" w:cs="Calibri"/>
          <w:szCs w:val="24"/>
        </w:rPr>
        <w:fldChar w:fldCharType="end"/>
      </w:r>
      <w:bookmarkEnd w:id="8"/>
      <w:r w:rsidRPr="004C286F">
        <w:rPr>
          <w:rFonts w:eastAsia="Times New Roman" w:cs="Times New Roman"/>
          <w:szCs w:val="24"/>
        </w:rPr>
        <w:t> Al-Haq’s upcoming report details how the private sector, particularly the companies listed above, enable Israel’s apartheid regime, in blatant violation of the binding and customary provisions of the Apartheid Convention, acts which may further amount to crimes against humanity under the Rome Statute of the International Criminal Court.</w:t>
      </w:r>
      <w:bookmarkStart w:id="9" w:name="_ftnref9"/>
      <w:r w:rsidRPr="004C286F">
        <w:rPr>
          <w:rFonts w:eastAsia="Times New Roman" w:cs="Times New Roman"/>
          <w:szCs w:val="24"/>
        </w:rPr>
        <w:fldChar w:fldCharType="begin"/>
      </w:r>
      <w:r w:rsidRPr="004C286F">
        <w:rPr>
          <w:rFonts w:eastAsia="Times New Roman" w:cs="Times New Roman"/>
          <w:szCs w:val="24"/>
        </w:rPr>
        <w:instrText xml:space="preserve"> HYPERLINK "https://www.alhaq.org/advocacy/20282.html" \l "_ftn9" \o "" </w:instrText>
      </w:r>
      <w:r w:rsidRPr="004C286F">
        <w:rPr>
          <w:rFonts w:eastAsia="Times New Roman" w:cs="Times New Roman"/>
          <w:szCs w:val="24"/>
        </w:rPr>
        <w:fldChar w:fldCharType="separate"/>
      </w:r>
      <w:r w:rsidRPr="004C286F">
        <w:rPr>
          <w:rFonts w:eastAsia="Times New Roman" w:cs="Times New Roman"/>
          <w:szCs w:val="24"/>
          <w:u w:val="single"/>
          <w:vertAlign w:val="superscript"/>
        </w:rPr>
        <w:t>[9]</w:t>
      </w:r>
      <w:r w:rsidRPr="004C286F">
        <w:rPr>
          <w:rFonts w:eastAsia="Times New Roman" w:cs="Times New Roman"/>
          <w:szCs w:val="24"/>
        </w:rPr>
        <w:fldChar w:fldCharType="end"/>
      </w:r>
      <w:bookmarkEnd w:id="9"/>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eastAsia="Times New Roman" w:cs="Times New Roman"/>
          <w:szCs w:val="24"/>
        </w:rPr>
        <w:t>Al-Haq calls upon the corporations listed above, and all corporate actors doing business in the OPT, to act with enhanced due diligence to avoid further involvement in serious human rights violations and war crimes in the OPT. Al-Haq calls on the corporations involved to comment on their actions within the OPT, and to comply with their responsibilities under international law, including disengagement.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t> </w:t>
      </w:r>
    </w:p>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gss medium" w:eastAsia="Times New Roman" w:hAnsi="gss medium" w:cs="Times New Roman"/>
          <w:sz w:val="23"/>
          <w:szCs w:val="23"/>
        </w:rPr>
        <w:pict>
          <v:rect id="_x0000_i1026" style="width:154.45pt;height:.5pt" o:hrpct="330" o:hrstd="t" o:hr="t" fillcolor="#a0a0a0" stroked="f"/>
        </w:pict>
      </w:r>
    </w:p>
    <w:bookmarkStart w:id="10" w:name="_ftn1"/>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"_ftnref1" \o "" </w:instrText>
      </w:r>
      <w:r w:rsidRPr="004C286F">
        <w:rPr>
          <w:rFonts w:ascii="Calibri" w:eastAsia="Times New Roman" w:hAnsi="Calibri" w:cs="Calibri"/>
          <w:szCs w:val="24"/>
        </w:rPr>
        <w:fldChar w:fldCharType="separate"/>
      </w:r>
      <w:r w:rsidRPr="004C286F">
        <w:rPr>
          <w:rFonts w:eastAsia="Times New Roman" w:cs="Times New Roman"/>
          <w:sz w:val="20"/>
          <w:szCs w:val="20"/>
          <w:u w:val="single"/>
          <w:vertAlign w:val="superscript"/>
        </w:rPr>
        <w:t>[1]</w:t>
      </w:r>
      <w:r w:rsidRPr="004C286F">
        <w:rPr>
          <w:rFonts w:ascii="Calibri" w:eastAsia="Times New Roman" w:hAnsi="Calibri" w:cs="Calibri"/>
          <w:szCs w:val="24"/>
        </w:rPr>
        <w:fldChar w:fldCharType="end"/>
      </w:r>
      <w:bookmarkEnd w:id="10"/>
      <w:r w:rsidRPr="004C286F">
        <w:rPr>
          <w:rFonts w:ascii="Calibri" w:eastAsia="Times New Roman" w:hAnsi="Calibri" w:cs="Calibri"/>
          <w:szCs w:val="24"/>
          <w:vertAlign w:val="subscript"/>
        </w:rPr>
        <w:t> </w:t>
      </w:r>
      <w:r w:rsidRPr="004C286F">
        <w:rPr>
          <w:rFonts w:eastAsia="Times New Roman" w:cs="Times New Roman"/>
          <w:sz w:val="20"/>
          <w:szCs w:val="20"/>
        </w:rPr>
        <w:t>Articles 52, 53 and 55 of the Hague Convention (IV) Respecting the Laws and Customs of War on Land and Its Annex: Regulations Concerning the Laws and Customs of War on Land, 18 October 1907</w:t>
      </w:r>
    </w:p>
    <w:bookmarkStart w:id="11" w:name="_ftn2"/>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"_ftnref2" \o "" </w:instrText>
      </w:r>
      <w:r w:rsidRPr="004C286F">
        <w:rPr>
          <w:rFonts w:ascii="Calibri" w:eastAsia="Times New Roman" w:hAnsi="Calibri" w:cs="Calibri"/>
          <w:szCs w:val="24"/>
        </w:rPr>
        <w:fldChar w:fldCharType="separate"/>
      </w:r>
      <w:r w:rsidRPr="004C286F">
        <w:rPr>
          <w:rFonts w:eastAsia="Times New Roman" w:cs="Times New Roman"/>
          <w:sz w:val="20"/>
          <w:szCs w:val="20"/>
          <w:u w:val="single"/>
          <w:vertAlign w:val="superscript"/>
        </w:rPr>
        <w:t>[2]</w:t>
      </w:r>
      <w:r w:rsidRPr="004C286F">
        <w:rPr>
          <w:rFonts w:ascii="Calibri" w:eastAsia="Times New Roman" w:hAnsi="Calibri" w:cs="Calibri"/>
          <w:szCs w:val="24"/>
        </w:rPr>
        <w:fldChar w:fldCharType="end"/>
      </w:r>
      <w:bookmarkEnd w:id="11"/>
      <w:r w:rsidRPr="004C286F">
        <w:rPr>
          <w:rFonts w:ascii="Calibri" w:eastAsia="Times New Roman" w:hAnsi="Calibri" w:cs="Calibri"/>
          <w:szCs w:val="24"/>
        </w:rPr>
        <w:t> </w:t>
      </w:r>
      <w:r w:rsidRPr="004C286F">
        <w:rPr>
          <w:rFonts w:eastAsia="Times New Roman" w:cs="Times New Roman"/>
          <w:sz w:val="20"/>
          <w:szCs w:val="20"/>
        </w:rPr>
        <w:t>Article 8(2</w:t>
      </w:r>
      <w:proofErr w:type="gramStart"/>
      <w:r w:rsidRPr="004C286F">
        <w:rPr>
          <w:rFonts w:eastAsia="Times New Roman" w:cs="Times New Roman"/>
          <w:sz w:val="20"/>
          <w:szCs w:val="20"/>
        </w:rPr>
        <w:t>)(</w:t>
      </w:r>
      <w:proofErr w:type="gramEnd"/>
      <w:r w:rsidRPr="004C286F">
        <w:rPr>
          <w:rFonts w:eastAsia="Times New Roman" w:cs="Times New Roman"/>
          <w:sz w:val="20"/>
          <w:szCs w:val="20"/>
        </w:rPr>
        <w:t>b)(xvi) of the Rome Statute.</w:t>
      </w:r>
    </w:p>
    <w:bookmarkStart w:id="12" w:name="_ftn3"/>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"_ftnref3" \o "" </w:instrText>
      </w:r>
      <w:r w:rsidRPr="004C286F">
        <w:rPr>
          <w:rFonts w:ascii="Calibri" w:eastAsia="Times New Roman" w:hAnsi="Calibri" w:cs="Calibri"/>
          <w:szCs w:val="24"/>
        </w:rPr>
        <w:fldChar w:fldCharType="separate"/>
      </w:r>
      <w:r w:rsidRPr="004C286F">
        <w:rPr>
          <w:rFonts w:eastAsia="Times New Roman" w:cs="Times New Roman"/>
          <w:sz w:val="20"/>
          <w:szCs w:val="20"/>
          <w:u w:val="single"/>
          <w:vertAlign w:val="superscript"/>
        </w:rPr>
        <w:t>[3]</w:t>
      </w:r>
      <w:r w:rsidRPr="004C286F">
        <w:rPr>
          <w:rFonts w:ascii="Calibri" w:eastAsia="Times New Roman" w:hAnsi="Calibri" w:cs="Calibri"/>
          <w:szCs w:val="24"/>
        </w:rPr>
        <w:fldChar w:fldCharType="end"/>
      </w:r>
      <w:bookmarkEnd w:id="12"/>
      <w:r w:rsidRPr="004C286F">
        <w:rPr>
          <w:rFonts w:ascii="Calibri" w:eastAsia="Times New Roman" w:hAnsi="Calibri" w:cs="Calibri"/>
          <w:szCs w:val="24"/>
          <w:vertAlign w:val="subscript"/>
        </w:rPr>
        <w:t> </w:t>
      </w:r>
      <w:r w:rsidRPr="004C286F">
        <w:rPr>
          <w:rFonts w:eastAsia="Times New Roman" w:cs="Times New Roman"/>
          <w:sz w:val="20"/>
          <w:szCs w:val="20"/>
        </w:rPr>
        <w:t>Article 49, Geneva Convention Relative to the Protection of Civilian Persons in Time of War, 12 August 1949.</w:t>
      </w:r>
    </w:p>
    <w:bookmarkStart w:id="13" w:name="_ftn4"/>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"_ftnref4" \o "" </w:instrText>
      </w:r>
      <w:r w:rsidRPr="004C286F">
        <w:rPr>
          <w:rFonts w:ascii="Calibri" w:eastAsia="Times New Roman" w:hAnsi="Calibri" w:cs="Calibri"/>
          <w:szCs w:val="24"/>
        </w:rPr>
        <w:fldChar w:fldCharType="separate"/>
      </w:r>
      <w:r w:rsidRPr="004C286F">
        <w:rPr>
          <w:rFonts w:eastAsia="Times New Roman" w:cs="Times New Roman"/>
          <w:sz w:val="20"/>
          <w:szCs w:val="20"/>
          <w:u w:val="single"/>
          <w:vertAlign w:val="superscript"/>
        </w:rPr>
        <w:t>[4]</w:t>
      </w:r>
      <w:r w:rsidRPr="004C286F">
        <w:rPr>
          <w:rFonts w:ascii="Calibri" w:eastAsia="Times New Roman" w:hAnsi="Calibri" w:cs="Calibri"/>
          <w:szCs w:val="24"/>
        </w:rPr>
        <w:fldChar w:fldCharType="end"/>
      </w:r>
      <w:bookmarkEnd w:id="13"/>
      <w:r w:rsidRPr="004C286F">
        <w:rPr>
          <w:rFonts w:ascii="Calibri" w:eastAsia="Times New Roman" w:hAnsi="Calibri" w:cs="Calibri"/>
          <w:szCs w:val="24"/>
          <w:vertAlign w:val="subscript"/>
        </w:rPr>
        <w:t> </w:t>
      </w:r>
      <w:r w:rsidRPr="004C286F">
        <w:rPr>
          <w:rFonts w:eastAsia="Times New Roman" w:cs="Times New Roman"/>
          <w:sz w:val="20"/>
          <w:szCs w:val="20"/>
        </w:rPr>
        <w:t> UN General Assembly, International Covenant on Civil and Political Rights, 16 December 1966, United Nations, Treaty Series, vol. 999, p. 171; UN General Assembly, International Covenant on Economic, Social and Cultural Rights, 16 December 1966, United Nations, Treaty Series, vol. 993, p. 3.</w:t>
      </w:r>
    </w:p>
    <w:bookmarkStart w:id="14" w:name="_ftn5"/>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"_ftnref5" \o "" </w:instrText>
      </w:r>
      <w:r w:rsidRPr="004C286F">
        <w:rPr>
          <w:rFonts w:ascii="Calibri" w:eastAsia="Times New Roman" w:hAnsi="Calibri" w:cs="Calibri"/>
          <w:szCs w:val="24"/>
        </w:rPr>
        <w:fldChar w:fldCharType="separate"/>
      </w:r>
      <w:r w:rsidRPr="004C286F">
        <w:rPr>
          <w:rFonts w:eastAsia="Times New Roman" w:cs="Times New Roman"/>
          <w:sz w:val="20"/>
          <w:szCs w:val="20"/>
          <w:u w:val="single"/>
          <w:vertAlign w:val="superscript"/>
        </w:rPr>
        <w:t>[5]</w:t>
      </w:r>
      <w:r w:rsidRPr="004C286F">
        <w:rPr>
          <w:rFonts w:ascii="Calibri" w:eastAsia="Times New Roman" w:hAnsi="Calibri" w:cs="Calibri"/>
          <w:szCs w:val="24"/>
        </w:rPr>
        <w:fldChar w:fldCharType="end"/>
      </w:r>
      <w:bookmarkEnd w:id="14"/>
      <w:r w:rsidRPr="004C286F">
        <w:rPr>
          <w:rFonts w:ascii="Calibri" w:eastAsia="Times New Roman" w:hAnsi="Calibri" w:cs="Calibri"/>
          <w:szCs w:val="24"/>
          <w:vertAlign w:val="subscript"/>
        </w:rPr>
        <w:t> </w:t>
      </w:r>
      <w:r w:rsidRPr="004C286F">
        <w:rPr>
          <w:rFonts w:eastAsia="Times New Roman" w:cs="Times New Roman"/>
          <w:sz w:val="20"/>
          <w:szCs w:val="20"/>
        </w:rPr>
        <w:t>The UN Guiding Principles on Business and Human Rights (2011), available at &lt;https://www.ohchr.org/sites/default/files/documents/publications/guidingprinciplesbusinesshr_en.pdf&gt;</w:t>
      </w:r>
    </w:p>
    <w:bookmarkStart w:id="15" w:name="_ftn6"/>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Arial" w:eastAsia="Times New Roman" w:hAnsi="Arial" w:cs="Arial"/>
          <w:sz w:val="20"/>
          <w:szCs w:val="20"/>
        </w:rPr>
        <w:fldChar w:fldCharType="begin"/>
      </w:r>
      <w:r w:rsidRPr="004C286F">
        <w:rPr>
          <w:rFonts w:ascii="Arial" w:eastAsia="Times New Roman" w:hAnsi="Arial" w:cs="Arial"/>
          <w:sz w:val="20"/>
          <w:szCs w:val="20"/>
        </w:rPr>
        <w:instrText xml:space="preserve"> HYPERLINK "https://www.alhaq.org/advocacy/20282.html" \l "_ftnref6" \o "" </w:instrText>
      </w:r>
      <w:r w:rsidRPr="004C286F">
        <w:rPr>
          <w:rFonts w:ascii="Arial" w:eastAsia="Times New Roman" w:hAnsi="Arial" w:cs="Arial"/>
          <w:sz w:val="20"/>
          <w:szCs w:val="20"/>
        </w:rPr>
        <w:fldChar w:fldCharType="separate"/>
      </w:r>
      <w:r w:rsidRPr="004C286F">
        <w:rPr>
          <w:rFonts w:ascii="Arial" w:eastAsia="Times New Roman" w:hAnsi="Arial" w:cs="Arial"/>
          <w:sz w:val="20"/>
          <w:szCs w:val="20"/>
          <w:u w:val="single"/>
          <w:vertAlign w:val="superscript"/>
          <w:lang w:val="en"/>
        </w:rPr>
        <w:t>[6]</w:t>
      </w:r>
      <w:r w:rsidRPr="004C286F">
        <w:rPr>
          <w:rFonts w:ascii="Arial" w:eastAsia="Times New Roman" w:hAnsi="Arial" w:cs="Arial"/>
          <w:sz w:val="20"/>
          <w:szCs w:val="20"/>
        </w:rPr>
        <w:fldChar w:fldCharType="end"/>
      </w:r>
      <w:bookmarkEnd w:id="15"/>
      <w:r w:rsidRPr="004C286F">
        <w:rPr>
          <w:rFonts w:ascii="Arial" w:eastAsia="Times New Roman" w:hAnsi="Arial" w:cs="Arial"/>
          <w:sz w:val="20"/>
          <w:szCs w:val="20"/>
        </w:rPr>
        <w:t> </w:t>
      </w:r>
      <w:r w:rsidRPr="004C286F">
        <w:rPr>
          <w:rFonts w:eastAsia="Times New Roman" w:cs="Times New Roman"/>
          <w:sz w:val="20"/>
          <w:szCs w:val="20"/>
        </w:rPr>
        <w:t>Due diligence requires the monitoring, identification, assessment, prevention and minimization of human rights violations by business activities. UN Guiding Principles, Guiding Principle 13, 17 and 18.</w:t>
      </w:r>
    </w:p>
    <w:bookmarkStart w:id="16" w:name="_ftn7"/>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Arial" w:eastAsia="Times New Roman" w:hAnsi="Arial" w:cs="Arial"/>
          <w:sz w:val="20"/>
          <w:szCs w:val="20"/>
        </w:rPr>
        <w:fldChar w:fldCharType="begin"/>
      </w:r>
      <w:r w:rsidRPr="004C286F">
        <w:rPr>
          <w:rFonts w:ascii="Arial" w:eastAsia="Times New Roman" w:hAnsi="Arial" w:cs="Arial"/>
          <w:sz w:val="20"/>
          <w:szCs w:val="20"/>
        </w:rPr>
        <w:instrText xml:space="preserve"> HYPERLINK "https://www.alhaq.org/advocacy/20282.html" \l "_ftnref7" \o "" </w:instrText>
      </w:r>
      <w:r w:rsidRPr="004C286F">
        <w:rPr>
          <w:rFonts w:ascii="Arial" w:eastAsia="Times New Roman" w:hAnsi="Arial" w:cs="Arial"/>
          <w:sz w:val="20"/>
          <w:szCs w:val="20"/>
        </w:rPr>
        <w:fldChar w:fldCharType="separate"/>
      </w:r>
      <w:r w:rsidRPr="004C286F">
        <w:rPr>
          <w:rFonts w:ascii="Arial" w:eastAsia="Times New Roman" w:hAnsi="Arial" w:cs="Arial"/>
          <w:sz w:val="20"/>
          <w:szCs w:val="20"/>
          <w:u w:val="single"/>
          <w:vertAlign w:val="superscript"/>
          <w:lang w:val="en"/>
        </w:rPr>
        <w:t>[7]</w:t>
      </w:r>
      <w:r w:rsidRPr="004C286F">
        <w:rPr>
          <w:rFonts w:ascii="Arial" w:eastAsia="Times New Roman" w:hAnsi="Arial" w:cs="Arial"/>
          <w:sz w:val="20"/>
          <w:szCs w:val="20"/>
        </w:rPr>
        <w:fldChar w:fldCharType="end"/>
      </w:r>
      <w:bookmarkEnd w:id="16"/>
      <w:r w:rsidRPr="004C286F">
        <w:rPr>
          <w:rFonts w:ascii="Arial" w:eastAsia="Times New Roman" w:hAnsi="Arial" w:cs="Arial"/>
          <w:sz w:val="20"/>
          <w:szCs w:val="20"/>
        </w:rPr>
        <w:t> </w:t>
      </w:r>
      <w:r w:rsidRPr="004C286F">
        <w:rPr>
          <w:rFonts w:eastAsia="Times New Roman" w:cs="Times New Roman"/>
          <w:sz w:val="20"/>
          <w:szCs w:val="20"/>
          <w:lang w:val="en"/>
        </w:rPr>
        <w:t>Volvo’s Human Rights Policy, for example, states that it will utilize its </w:t>
      </w:r>
      <w:r w:rsidRPr="004C286F">
        <w:rPr>
          <w:rFonts w:eastAsia="Times New Roman" w:cs="Times New Roman"/>
          <w:sz w:val="20"/>
          <w:szCs w:val="20"/>
        </w:rPr>
        <w:t>Responsible Sales process to avoid its products “being used or involved in instances of violations of human rights in conflict and other high-risk contexts.”</w:t>
      </w:r>
      <w:r w:rsidRPr="004C286F">
        <w:rPr>
          <w:rFonts w:ascii="Arial" w:eastAsia="Times New Roman" w:hAnsi="Arial" w:cs="Arial"/>
          <w:sz w:val="20"/>
          <w:szCs w:val="20"/>
          <w:vertAlign w:val="superscript"/>
          <w:lang w:val="en"/>
        </w:rPr>
        <w:t>[7]</w:t>
      </w:r>
      <w:r w:rsidRPr="004C286F">
        <w:rPr>
          <w:rFonts w:ascii="Arial" w:eastAsia="Times New Roman" w:hAnsi="Arial" w:cs="Arial"/>
          <w:sz w:val="20"/>
          <w:szCs w:val="20"/>
        </w:rPr>
        <w:t> </w:t>
      </w:r>
      <w:r w:rsidRPr="004C286F">
        <w:rPr>
          <w:rFonts w:eastAsia="Times New Roman" w:cs="Times New Roman"/>
          <w:sz w:val="20"/>
          <w:szCs w:val="20"/>
          <w:lang w:val="en"/>
        </w:rPr>
        <w:t>Given that the OPT is a situation of military occupation, Volvo must cease its activity in the OPT, in accordance with its internal policies and values.</w:t>
      </w:r>
    </w:p>
    <w:bookmarkStart w:id="17" w:name="_ftn8"/>
    <w:p w:rsidR="004C286F" w:rsidRPr="004C286F" w:rsidRDefault="004C286F" w:rsidP="004C286F">
      <w:pPr>
        <w:shd w:val="clear" w:color="auto" w:fill="F6F6F6"/>
        <w:spacing w:after="0" w:line="240" w:lineRule="auto"/>
        <w:jc w:val="both"/>
        <w:rPr>
          <w:rFonts w:ascii="gss medium" w:eastAsia="Times New Roman" w:hAnsi="gss medium" w:cs="Times New Roman"/>
          <w:sz w:val="23"/>
          <w:szCs w:val="23"/>
        </w:rPr>
      </w:pPr>
      <w:r w:rsidRPr="004C286F">
        <w:rPr>
          <w:rFonts w:ascii="Arial" w:eastAsia="Times New Roman" w:hAnsi="Arial" w:cs="Arial"/>
          <w:sz w:val="20"/>
          <w:szCs w:val="20"/>
        </w:rPr>
        <w:lastRenderedPageBreak/>
        <w:fldChar w:fldCharType="begin"/>
      </w:r>
      <w:r w:rsidRPr="004C286F">
        <w:rPr>
          <w:rFonts w:ascii="Arial" w:eastAsia="Times New Roman" w:hAnsi="Arial" w:cs="Arial"/>
          <w:sz w:val="20"/>
          <w:szCs w:val="20"/>
        </w:rPr>
        <w:instrText xml:space="preserve"> HYPERLINK "https://www.alhaq.org/advocacy/20282.html" \l "_ftnref8" \o "" </w:instrText>
      </w:r>
      <w:r w:rsidRPr="004C286F">
        <w:rPr>
          <w:rFonts w:ascii="Arial" w:eastAsia="Times New Roman" w:hAnsi="Arial" w:cs="Arial"/>
          <w:sz w:val="20"/>
          <w:szCs w:val="20"/>
        </w:rPr>
        <w:fldChar w:fldCharType="separate"/>
      </w:r>
      <w:r w:rsidRPr="004C286F">
        <w:rPr>
          <w:rFonts w:ascii="Arial" w:eastAsia="Times New Roman" w:hAnsi="Arial" w:cs="Arial"/>
          <w:sz w:val="20"/>
          <w:szCs w:val="20"/>
          <w:u w:val="single"/>
          <w:vertAlign w:val="superscript"/>
          <w:lang w:val="en"/>
        </w:rPr>
        <w:t>[8]</w:t>
      </w:r>
      <w:r w:rsidRPr="004C286F">
        <w:rPr>
          <w:rFonts w:ascii="Arial" w:eastAsia="Times New Roman" w:hAnsi="Arial" w:cs="Arial"/>
          <w:sz w:val="20"/>
          <w:szCs w:val="20"/>
        </w:rPr>
        <w:fldChar w:fldCharType="end"/>
      </w:r>
      <w:bookmarkEnd w:id="17"/>
      <w:r w:rsidRPr="004C286F">
        <w:rPr>
          <w:rFonts w:ascii="Arial" w:eastAsia="Times New Roman" w:hAnsi="Arial" w:cs="Arial"/>
          <w:sz w:val="20"/>
          <w:szCs w:val="20"/>
        </w:rPr>
        <w:t> </w:t>
      </w:r>
      <w:r w:rsidRPr="004C286F">
        <w:rPr>
          <w:rFonts w:eastAsia="Times New Roman" w:cs="Times New Roman"/>
          <w:sz w:val="20"/>
          <w:szCs w:val="20"/>
          <w:lang w:val="en-GB"/>
        </w:rPr>
        <w:t>United Nations, “Israel’s 55-year occupation of Palestinian Territory is apartheid – UN human rights expert” (25 March 2022), available at: &lt;</w:t>
      </w:r>
      <w:r w:rsidRPr="004C286F">
        <w:rPr>
          <w:rFonts w:ascii="Arial" w:eastAsia="Times New Roman" w:hAnsi="Arial" w:cs="Arial"/>
          <w:sz w:val="20"/>
          <w:szCs w:val="20"/>
        </w:rPr>
        <w:t> </w:t>
      </w:r>
      <w:r w:rsidRPr="004C286F">
        <w:rPr>
          <w:rFonts w:eastAsia="Times New Roman" w:cs="Times New Roman"/>
          <w:sz w:val="20"/>
          <w:szCs w:val="20"/>
          <w:lang w:val="en-GB"/>
        </w:rPr>
        <w:t>https://www.ohchr.org/en/press-releases/2022/03/israels-55-year-occupation-palestinian-territory-apartheid-un-human-rights&gt;</w:t>
      </w:r>
    </w:p>
    <w:bookmarkStart w:id="18" w:name="_ftn9"/>
    <w:p w:rsidR="004C286F" w:rsidRPr="004C286F" w:rsidRDefault="004C286F" w:rsidP="004C286F">
      <w:pPr>
        <w:shd w:val="clear" w:color="auto" w:fill="F6F6F6"/>
        <w:spacing w:line="240" w:lineRule="auto"/>
        <w:jc w:val="both"/>
        <w:rPr>
          <w:rFonts w:ascii="gss medium" w:eastAsia="Times New Roman" w:hAnsi="gss medium" w:cs="Times New Roman"/>
          <w:sz w:val="23"/>
          <w:szCs w:val="23"/>
        </w:rPr>
      </w:pPr>
      <w:r w:rsidRPr="004C286F">
        <w:rPr>
          <w:rFonts w:ascii="Calibri" w:eastAsia="Times New Roman" w:hAnsi="Calibri" w:cs="Calibri"/>
          <w:szCs w:val="24"/>
        </w:rPr>
        <w:fldChar w:fldCharType="begin"/>
      </w:r>
      <w:r w:rsidRPr="004C286F">
        <w:rPr>
          <w:rFonts w:ascii="Calibri" w:eastAsia="Times New Roman" w:hAnsi="Calibri" w:cs="Calibri"/>
          <w:szCs w:val="24"/>
        </w:rPr>
        <w:instrText xml:space="preserve"> HYPERLINK "https://www.alhaq.org/advocacy/20282.html" \l "_ftnref9" \o "" </w:instrText>
      </w:r>
      <w:r w:rsidRPr="004C286F">
        <w:rPr>
          <w:rFonts w:ascii="Calibri" w:eastAsia="Times New Roman" w:hAnsi="Calibri" w:cs="Calibri"/>
          <w:szCs w:val="24"/>
        </w:rPr>
        <w:fldChar w:fldCharType="separate"/>
      </w:r>
      <w:r w:rsidRPr="004C286F">
        <w:rPr>
          <w:rFonts w:eastAsia="Times New Roman" w:cs="Times New Roman"/>
          <w:sz w:val="20"/>
          <w:szCs w:val="20"/>
          <w:u w:val="single"/>
          <w:vertAlign w:val="superscript"/>
        </w:rPr>
        <w:t>[9]</w:t>
      </w:r>
      <w:r w:rsidRPr="004C286F">
        <w:rPr>
          <w:rFonts w:ascii="Calibri" w:eastAsia="Times New Roman" w:hAnsi="Calibri" w:cs="Calibri"/>
          <w:szCs w:val="24"/>
        </w:rPr>
        <w:fldChar w:fldCharType="end"/>
      </w:r>
      <w:bookmarkEnd w:id="18"/>
      <w:r w:rsidRPr="004C286F">
        <w:rPr>
          <w:rFonts w:ascii="Calibri" w:eastAsia="Times New Roman" w:hAnsi="Calibri" w:cs="Calibri"/>
          <w:szCs w:val="24"/>
        </w:rPr>
        <w:t> </w:t>
      </w:r>
      <w:r w:rsidRPr="004C286F">
        <w:rPr>
          <w:rFonts w:eastAsia="Times New Roman" w:cs="Times New Roman"/>
          <w:sz w:val="20"/>
          <w:szCs w:val="20"/>
        </w:rPr>
        <w:t>UN Committee on Economic, Social and Cultural Rights (CESCR), General Comment No. 15: The Right to Water (Arts. 11 and 12 of the Covenant), 20 January 2003, E/C.12/2002/11.</w:t>
      </w:r>
    </w:p>
    <w:bookmarkEnd w:id="0"/>
    <w:p w:rsidR="002711F6" w:rsidRPr="004C286F" w:rsidRDefault="004C286F"/>
    <w:sectPr w:rsidR="002711F6" w:rsidRPr="004C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ss bold">
    <w:altName w:val="Times New Roman"/>
    <w:panose1 w:val="00000000000000000000"/>
    <w:charset w:val="00"/>
    <w:family w:val="roman"/>
    <w:notTrueType/>
    <w:pitch w:val="default"/>
  </w:font>
  <w:font w:name="gss 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6F"/>
    <w:rsid w:val="004C286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30FC"/>
  <w15:chartTrackingRefBased/>
  <w15:docId w15:val="{44DDE99C-EA63-48E2-9383-6DE462FF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6F"/>
    <w:rPr>
      <w:color w:val="0000FF"/>
      <w:u w:val="single"/>
    </w:rPr>
  </w:style>
  <w:style w:type="paragraph" w:styleId="BodyText">
    <w:name w:val="Body Text"/>
    <w:basedOn w:val="Normal"/>
    <w:link w:val="BodyTextChar"/>
    <w:uiPriority w:val="99"/>
    <w:semiHidden/>
    <w:unhideWhenUsed/>
    <w:rsid w:val="004C286F"/>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4C286F"/>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286F"/>
    <w:pPr>
      <w:spacing w:before="100" w:beforeAutospacing="1" w:after="100" w:afterAutospacing="1" w:line="240" w:lineRule="auto"/>
    </w:pPr>
    <w:rPr>
      <w:rFonts w:eastAsia="Times New Roman" w:cs="Times New Roman"/>
      <w:szCs w:val="24"/>
    </w:rPr>
  </w:style>
  <w:style w:type="character" w:styleId="FootnoteReference">
    <w:name w:val="footnote reference"/>
    <w:basedOn w:val="DefaultParagraphFont"/>
    <w:uiPriority w:val="99"/>
    <w:semiHidden/>
    <w:unhideWhenUsed/>
    <w:rsid w:val="004C286F"/>
  </w:style>
  <w:style w:type="paragraph" w:styleId="FootnoteText">
    <w:name w:val="footnote text"/>
    <w:basedOn w:val="Normal"/>
    <w:link w:val="FootnoteTextChar"/>
    <w:uiPriority w:val="99"/>
    <w:semiHidden/>
    <w:unhideWhenUsed/>
    <w:rsid w:val="004C286F"/>
    <w:pPr>
      <w:spacing w:before="100" w:beforeAutospacing="1" w:after="100" w:afterAutospacing="1" w:line="240" w:lineRule="auto"/>
    </w:pPr>
    <w:rPr>
      <w:rFonts w:eastAsia="Times New Roman" w:cs="Times New Roman"/>
      <w:szCs w:val="24"/>
    </w:rPr>
  </w:style>
  <w:style w:type="character" w:customStyle="1" w:styleId="FootnoteTextChar">
    <w:name w:val="Footnote Text Char"/>
    <w:basedOn w:val="DefaultParagraphFont"/>
    <w:link w:val="FootnoteText"/>
    <w:uiPriority w:val="99"/>
    <w:semiHidden/>
    <w:rsid w:val="004C28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445">
      <w:bodyDiv w:val="1"/>
      <w:marLeft w:val="0"/>
      <w:marRight w:val="0"/>
      <w:marTop w:val="0"/>
      <w:marBottom w:val="0"/>
      <w:divBdr>
        <w:top w:val="none" w:sz="0" w:space="0" w:color="auto"/>
        <w:left w:val="none" w:sz="0" w:space="0" w:color="auto"/>
        <w:bottom w:val="none" w:sz="0" w:space="0" w:color="auto"/>
        <w:right w:val="none" w:sz="0" w:space="0" w:color="auto"/>
      </w:divBdr>
      <w:divsChild>
        <w:div w:id="1171146170">
          <w:marLeft w:val="0"/>
          <w:marRight w:val="0"/>
          <w:marTop w:val="0"/>
          <w:marBottom w:val="600"/>
          <w:divBdr>
            <w:top w:val="none" w:sz="0" w:space="0" w:color="auto"/>
            <w:left w:val="none" w:sz="0" w:space="0" w:color="auto"/>
            <w:bottom w:val="none" w:sz="0" w:space="0" w:color="auto"/>
            <w:right w:val="none" w:sz="0" w:space="0" w:color="auto"/>
          </w:divBdr>
        </w:div>
        <w:div w:id="1369912311">
          <w:marLeft w:val="0"/>
          <w:marRight w:val="0"/>
          <w:marTop w:val="0"/>
          <w:marBottom w:val="0"/>
          <w:divBdr>
            <w:top w:val="none" w:sz="0" w:space="0" w:color="auto"/>
            <w:left w:val="none" w:sz="0" w:space="0" w:color="auto"/>
            <w:bottom w:val="none" w:sz="0" w:space="0" w:color="auto"/>
            <w:right w:val="none" w:sz="0" w:space="0" w:color="auto"/>
          </w:divBdr>
          <w:divsChild>
            <w:div w:id="487088632">
              <w:marLeft w:val="0"/>
              <w:marRight w:val="0"/>
              <w:marTop w:val="0"/>
              <w:marBottom w:val="300"/>
              <w:divBdr>
                <w:top w:val="none" w:sz="0" w:space="0" w:color="auto"/>
                <w:left w:val="none" w:sz="0" w:space="0" w:color="auto"/>
                <w:bottom w:val="none" w:sz="0" w:space="0" w:color="auto"/>
                <w:right w:val="none" w:sz="0" w:space="0" w:color="auto"/>
              </w:divBdr>
            </w:div>
            <w:div w:id="1876040201">
              <w:marLeft w:val="0"/>
              <w:marRight w:val="0"/>
              <w:marTop w:val="0"/>
              <w:marBottom w:val="450"/>
              <w:divBdr>
                <w:top w:val="none" w:sz="0" w:space="0" w:color="auto"/>
                <w:left w:val="none" w:sz="0" w:space="0" w:color="auto"/>
                <w:bottom w:val="none" w:sz="0" w:space="0" w:color="auto"/>
                <w:right w:val="none" w:sz="0" w:space="0" w:color="auto"/>
              </w:divBdr>
              <w:divsChild>
                <w:div w:id="426121761">
                  <w:marLeft w:val="0"/>
                  <w:marRight w:val="300"/>
                  <w:marTop w:val="0"/>
                  <w:marBottom w:val="300"/>
                  <w:divBdr>
                    <w:top w:val="none" w:sz="0" w:space="0" w:color="auto"/>
                    <w:left w:val="none" w:sz="0" w:space="0" w:color="auto"/>
                    <w:bottom w:val="none" w:sz="0" w:space="0" w:color="auto"/>
                    <w:right w:val="none" w:sz="0" w:space="0" w:color="auto"/>
                  </w:divBdr>
                </w:div>
                <w:div w:id="1915973583">
                  <w:marLeft w:val="0"/>
                  <w:marRight w:val="0"/>
                  <w:marTop w:val="0"/>
                  <w:marBottom w:val="0"/>
                  <w:divBdr>
                    <w:top w:val="none" w:sz="0" w:space="0" w:color="auto"/>
                    <w:left w:val="none" w:sz="0" w:space="0" w:color="auto"/>
                    <w:bottom w:val="none" w:sz="0" w:space="0" w:color="auto"/>
                    <w:right w:val="none" w:sz="0" w:space="0" w:color="auto"/>
                  </w:divBdr>
                  <w:divsChild>
                    <w:div w:id="1397050012">
                      <w:marLeft w:val="0"/>
                      <w:marRight w:val="0"/>
                      <w:marTop w:val="0"/>
                      <w:marBottom w:val="0"/>
                      <w:divBdr>
                        <w:top w:val="none" w:sz="0" w:space="0" w:color="auto"/>
                        <w:left w:val="none" w:sz="0" w:space="0" w:color="auto"/>
                        <w:bottom w:val="none" w:sz="0" w:space="0" w:color="auto"/>
                        <w:right w:val="none" w:sz="0" w:space="0" w:color="auto"/>
                      </w:divBdr>
                      <w:divsChild>
                        <w:div w:id="1666082233">
                          <w:marLeft w:val="0"/>
                          <w:marRight w:val="0"/>
                          <w:marTop w:val="0"/>
                          <w:marBottom w:val="0"/>
                          <w:divBdr>
                            <w:top w:val="none" w:sz="0" w:space="0" w:color="auto"/>
                            <w:left w:val="none" w:sz="0" w:space="0" w:color="auto"/>
                            <w:bottom w:val="none" w:sz="0" w:space="0" w:color="auto"/>
                            <w:right w:val="none" w:sz="0" w:space="0" w:color="auto"/>
                          </w:divBdr>
                        </w:div>
                        <w:div w:id="306865185">
                          <w:marLeft w:val="0"/>
                          <w:marRight w:val="0"/>
                          <w:marTop w:val="0"/>
                          <w:marBottom w:val="0"/>
                          <w:divBdr>
                            <w:top w:val="none" w:sz="0" w:space="0" w:color="auto"/>
                            <w:left w:val="none" w:sz="0" w:space="0" w:color="auto"/>
                            <w:bottom w:val="none" w:sz="0" w:space="0" w:color="auto"/>
                            <w:right w:val="none" w:sz="0" w:space="0" w:color="auto"/>
                          </w:divBdr>
                        </w:div>
                        <w:div w:id="1875118591">
                          <w:marLeft w:val="0"/>
                          <w:marRight w:val="0"/>
                          <w:marTop w:val="0"/>
                          <w:marBottom w:val="0"/>
                          <w:divBdr>
                            <w:top w:val="none" w:sz="0" w:space="0" w:color="auto"/>
                            <w:left w:val="none" w:sz="0" w:space="0" w:color="auto"/>
                            <w:bottom w:val="none" w:sz="0" w:space="0" w:color="auto"/>
                            <w:right w:val="none" w:sz="0" w:space="0" w:color="auto"/>
                          </w:divBdr>
                        </w:div>
                        <w:div w:id="1966697090">
                          <w:marLeft w:val="0"/>
                          <w:marRight w:val="0"/>
                          <w:marTop w:val="0"/>
                          <w:marBottom w:val="0"/>
                          <w:divBdr>
                            <w:top w:val="none" w:sz="0" w:space="0" w:color="auto"/>
                            <w:left w:val="none" w:sz="0" w:space="0" w:color="auto"/>
                            <w:bottom w:val="none" w:sz="0" w:space="0" w:color="auto"/>
                            <w:right w:val="none" w:sz="0" w:space="0" w:color="auto"/>
                          </w:divBdr>
                        </w:div>
                        <w:div w:id="514534458">
                          <w:marLeft w:val="0"/>
                          <w:marRight w:val="0"/>
                          <w:marTop w:val="0"/>
                          <w:marBottom w:val="0"/>
                          <w:divBdr>
                            <w:top w:val="none" w:sz="0" w:space="0" w:color="auto"/>
                            <w:left w:val="none" w:sz="0" w:space="0" w:color="auto"/>
                            <w:bottom w:val="none" w:sz="0" w:space="0" w:color="auto"/>
                            <w:right w:val="none" w:sz="0" w:space="0" w:color="auto"/>
                          </w:divBdr>
                        </w:div>
                        <w:div w:id="1137339348">
                          <w:marLeft w:val="0"/>
                          <w:marRight w:val="0"/>
                          <w:marTop w:val="0"/>
                          <w:marBottom w:val="0"/>
                          <w:divBdr>
                            <w:top w:val="none" w:sz="0" w:space="0" w:color="auto"/>
                            <w:left w:val="none" w:sz="0" w:space="0" w:color="auto"/>
                            <w:bottom w:val="none" w:sz="0" w:space="0" w:color="auto"/>
                            <w:right w:val="none" w:sz="0" w:space="0" w:color="auto"/>
                          </w:divBdr>
                        </w:div>
                        <w:div w:id="1466242768">
                          <w:marLeft w:val="0"/>
                          <w:marRight w:val="0"/>
                          <w:marTop w:val="0"/>
                          <w:marBottom w:val="0"/>
                          <w:divBdr>
                            <w:top w:val="none" w:sz="0" w:space="0" w:color="auto"/>
                            <w:left w:val="none" w:sz="0" w:space="0" w:color="auto"/>
                            <w:bottom w:val="none" w:sz="0" w:space="0" w:color="auto"/>
                            <w:right w:val="none" w:sz="0" w:space="0" w:color="auto"/>
                          </w:divBdr>
                        </w:div>
                        <w:div w:id="714625788">
                          <w:marLeft w:val="0"/>
                          <w:marRight w:val="0"/>
                          <w:marTop w:val="0"/>
                          <w:marBottom w:val="0"/>
                          <w:divBdr>
                            <w:top w:val="none" w:sz="0" w:space="0" w:color="auto"/>
                            <w:left w:val="none" w:sz="0" w:space="0" w:color="auto"/>
                            <w:bottom w:val="none" w:sz="0" w:space="0" w:color="auto"/>
                            <w:right w:val="none" w:sz="0" w:space="0" w:color="auto"/>
                          </w:divBdr>
                        </w:div>
                        <w:div w:id="997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lhaq.org/cached_uploads/resize/1700/1200/2022/07/13/israel-palestine-water-1657689031.jpg" TargetMode="External"/><Relationship Id="rId4" Type="http://schemas.openxmlformats.org/officeDocument/2006/relationships/hyperlink" Target="https://www.alhaq.org/advocacy/20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2022-09-22T21:15:00Z</dcterms:created>
  <dcterms:modified xsi:type="dcterms:W3CDTF">2022-09-22T21:16:00Z</dcterms:modified>
</cp:coreProperties>
</file>