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597F1" w14:textId="77777777" w:rsidR="00D6377E" w:rsidRPr="00D6377E" w:rsidRDefault="00D6377E" w:rsidP="00D6377E">
      <w:pPr>
        <w:spacing w:before="100" w:beforeAutospacing="1" w:after="100" w:afterAutospacing="1" w:line="240" w:lineRule="auto"/>
        <w:jc w:val="left"/>
        <w:rPr>
          <w:rFonts w:ascii="Arial" w:eastAsia="Times New Roman" w:hAnsi="Arial" w:cs="Arial"/>
          <w:bCs/>
          <w:kern w:val="36"/>
          <w:sz w:val="44"/>
          <w:szCs w:val="44"/>
          <w:lang w:val="en"/>
        </w:rPr>
      </w:pPr>
      <w:r w:rsidRPr="00D6377E">
        <w:rPr>
          <w:rFonts w:ascii="Arial" w:eastAsia="Times New Roman" w:hAnsi="Arial" w:cs="Arial"/>
          <w:sz w:val="44"/>
          <w:szCs w:val="44"/>
          <w:lang w:val="en"/>
        </w:rPr>
        <w:t xml:space="preserve">Press release: </w:t>
      </w:r>
      <w:r w:rsidRPr="00D6377E">
        <w:rPr>
          <w:rFonts w:ascii="Arial" w:eastAsia="Times New Roman" w:hAnsi="Arial" w:cs="Arial"/>
          <w:bCs/>
          <w:kern w:val="36"/>
          <w:sz w:val="44"/>
          <w:szCs w:val="44"/>
          <w:lang w:val="en"/>
        </w:rPr>
        <w:t>Universal Jurisdiction</w:t>
      </w:r>
    </w:p>
    <w:p w14:paraId="6022CE58" w14:textId="77777777" w:rsidR="00D6377E" w:rsidRPr="00D6377E" w:rsidRDefault="00D6377E" w:rsidP="00D6377E">
      <w:pPr>
        <w:spacing w:after="0" w:line="240" w:lineRule="auto"/>
        <w:jc w:val="left"/>
        <w:rPr>
          <w:rFonts w:ascii="Arial" w:eastAsia="Times New Roman" w:hAnsi="Arial" w:cs="Arial"/>
          <w:sz w:val="28"/>
          <w:szCs w:val="28"/>
          <w:lang w:val="en"/>
        </w:rPr>
      </w:pPr>
      <w:r w:rsidRPr="00D6377E">
        <w:rPr>
          <w:rFonts w:ascii="Arial" w:eastAsia="Times New Roman" w:hAnsi="Arial" w:cs="Arial"/>
          <w:sz w:val="28"/>
          <w:szCs w:val="28"/>
          <w:lang w:val="en"/>
        </w:rPr>
        <w:t>September 15, 2011</w:t>
      </w:r>
    </w:p>
    <w:p w14:paraId="3252DEFC" w14:textId="77777777" w:rsidR="00D6377E" w:rsidRPr="00D6377E" w:rsidRDefault="00D6377E" w:rsidP="00D6377E">
      <w:pPr>
        <w:spacing w:after="0" w:line="240" w:lineRule="auto"/>
        <w:jc w:val="left"/>
        <w:rPr>
          <w:rFonts w:ascii="Arial" w:eastAsia="Times New Roman" w:hAnsi="Arial" w:cs="Arial"/>
          <w:sz w:val="28"/>
          <w:szCs w:val="28"/>
          <w:lang w:val="en"/>
        </w:rPr>
      </w:pPr>
      <w:r w:rsidRPr="00D6377E">
        <w:rPr>
          <w:rFonts w:ascii="Arial" w:eastAsia="Times New Roman" w:hAnsi="Arial" w:cs="Arial"/>
          <w:sz w:val="28"/>
          <w:szCs w:val="28"/>
          <w:lang w:val="en"/>
        </w:rPr>
        <w:t xml:space="preserve">By the </w:t>
      </w:r>
      <w:hyperlink r:id="rId5" w:history="1">
        <w:r w:rsidRPr="00D6377E">
          <w:rPr>
            <w:rFonts w:ascii="Arial" w:eastAsia="Times New Roman" w:hAnsi="Arial" w:cs="Arial"/>
            <w:sz w:val="28"/>
            <w:szCs w:val="28"/>
            <w:u w:val="single"/>
            <w:lang w:val="en"/>
          </w:rPr>
          <w:t>Ministry of Justice</w:t>
        </w:r>
      </w:hyperlink>
      <w:r w:rsidRPr="00D6377E">
        <w:rPr>
          <w:rFonts w:ascii="Arial" w:eastAsia="Times New Roman" w:hAnsi="Arial" w:cs="Arial"/>
          <w:sz w:val="28"/>
          <w:szCs w:val="28"/>
          <w:lang w:val="en"/>
        </w:rPr>
        <w:t xml:space="preserve"> and </w:t>
      </w:r>
      <w:hyperlink r:id="rId6" w:history="1">
        <w:proofErr w:type="gramStart"/>
        <w:r w:rsidRPr="00D6377E">
          <w:rPr>
            <w:rFonts w:ascii="Arial" w:eastAsia="Times New Roman" w:hAnsi="Arial" w:cs="Arial"/>
            <w:sz w:val="28"/>
            <w:szCs w:val="28"/>
            <w:u w:val="single"/>
            <w:lang w:val="en"/>
          </w:rPr>
          <w:t>The</w:t>
        </w:r>
        <w:proofErr w:type="gramEnd"/>
        <w:r w:rsidRPr="00D6377E">
          <w:rPr>
            <w:rFonts w:ascii="Arial" w:eastAsia="Times New Roman" w:hAnsi="Arial" w:cs="Arial"/>
            <w:sz w:val="28"/>
            <w:szCs w:val="28"/>
            <w:u w:val="single"/>
            <w:lang w:val="en"/>
          </w:rPr>
          <w:t xml:space="preserve"> </w:t>
        </w:r>
        <w:proofErr w:type="spellStart"/>
        <w:r w:rsidRPr="00D6377E">
          <w:rPr>
            <w:rFonts w:ascii="Arial" w:eastAsia="Times New Roman" w:hAnsi="Arial" w:cs="Arial"/>
            <w:sz w:val="28"/>
            <w:szCs w:val="28"/>
            <w:u w:val="single"/>
            <w:lang w:val="en"/>
          </w:rPr>
          <w:t>Rt</w:t>
        </w:r>
        <w:proofErr w:type="spellEnd"/>
        <w:r w:rsidRPr="00D6377E">
          <w:rPr>
            <w:rFonts w:ascii="Arial" w:eastAsia="Times New Roman" w:hAnsi="Arial" w:cs="Arial"/>
            <w:sz w:val="28"/>
            <w:szCs w:val="28"/>
            <w:u w:val="single"/>
            <w:lang w:val="en"/>
          </w:rPr>
          <w:t xml:space="preserve"> Hon Kenneth Clarke QC</w:t>
        </w:r>
      </w:hyperlink>
      <w:r w:rsidRPr="00D6377E">
        <w:rPr>
          <w:rFonts w:ascii="Arial" w:eastAsia="Times New Roman" w:hAnsi="Arial" w:cs="Arial"/>
          <w:sz w:val="28"/>
          <w:szCs w:val="28"/>
          <w:lang w:val="en"/>
        </w:rPr>
        <w:t xml:space="preserve"> </w:t>
      </w:r>
    </w:p>
    <w:p w14:paraId="30413B4C" w14:textId="77777777" w:rsidR="00C8741F" w:rsidRPr="00D6377E" w:rsidRDefault="00D6377E">
      <w:pPr>
        <w:rPr>
          <w:rFonts w:ascii="Arial" w:hAnsi="Arial" w:cs="Arial"/>
          <w:sz w:val="28"/>
          <w:szCs w:val="28"/>
        </w:rPr>
      </w:pPr>
      <w:hyperlink r:id="rId7" w:history="1">
        <w:r w:rsidRPr="00D6377E">
          <w:rPr>
            <w:rStyle w:val="Hyperlink"/>
            <w:rFonts w:ascii="Arial" w:hAnsi="Arial" w:cs="Arial"/>
            <w:color w:val="auto"/>
            <w:sz w:val="28"/>
            <w:szCs w:val="28"/>
          </w:rPr>
          <w:t>https://www.gov.uk/government/news/universal-jurisdiction</w:t>
        </w:r>
      </w:hyperlink>
    </w:p>
    <w:p w14:paraId="518C8C9A" w14:textId="77777777" w:rsidR="00D6377E" w:rsidRPr="00D6377E" w:rsidRDefault="00D6377E">
      <w:pPr>
        <w:rPr>
          <w:rFonts w:ascii="Arial" w:hAnsi="Arial" w:cs="Arial"/>
          <w:sz w:val="28"/>
          <w:szCs w:val="28"/>
          <w:lang w:val="en"/>
        </w:rPr>
      </w:pPr>
      <w:r w:rsidRPr="00D6377E">
        <w:rPr>
          <w:rFonts w:ascii="Arial" w:hAnsi="Arial" w:cs="Arial"/>
          <w:sz w:val="28"/>
          <w:szCs w:val="28"/>
          <w:lang w:val="en"/>
        </w:rPr>
        <w:t>A new law which will help courts in England and Wales deal with people accused of serious human rights violations has received Royal Assent.</w:t>
      </w:r>
    </w:p>
    <w:p w14:paraId="17FAE06A" w14:textId="77777777" w:rsidR="00D6377E" w:rsidRPr="00D6377E" w:rsidRDefault="00D6377E" w:rsidP="00D6377E">
      <w:pPr>
        <w:pStyle w:val="NormalWeb"/>
        <w:rPr>
          <w:rFonts w:ascii="Arial" w:hAnsi="Arial" w:cs="Arial"/>
          <w:sz w:val="28"/>
          <w:szCs w:val="28"/>
          <w:lang w:val="en"/>
        </w:rPr>
      </w:pPr>
      <w:r w:rsidRPr="00D6377E">
        <w:rPr>
          <w:rFonts w:ascii="Arial" w:hAnsi="Arial" w:cs="Arial"/>
          <w:sz w:val="28"/>
          <w:szCs w:val="28"/>
          <w:lang w:val="en"/>
        </w:rPr>
        <w:t>The United Kingdom has ‘universal jurisdiction’ over a small number of serious offences, which means a person accused of committing these crimes in anot</w:t>
      </w:r>
      <w:bookmarkStart w:id="0" w:name="_GoBack"/>
      <w:bookmarkEnd w:id="0"/>
      <w:r w:rsidRPr="00D6377E">
        <w:rPr>
          <w:rFonts w:ascii="Arial" w:hAnsi="Arial" w:cs="Arial"/>
          <w:sz w:val="28"/>
          <w:szCs w:val="28"/>
          <w:lang w:val="en"/>
        </w:rPr>
        <w:t xml:space="preserve">her country can be brought to justice in our courts. </w:t>
      </w:r>
    </w:p>
    <w:p w14:paraId="0E800EA3" w14:textId="77777777" w:rsidR="00D6377E" w:rsidRPr="00D6377E" w:rsidRDefault="00D6377E" w:rsidP="00D6377E">
      <w:pPr>
        <w:pStyle w:val="NormalWeb"/>
        <w:rPr>
          <w:rFonts w:ascii="Arial" w:hAnsi="Arial" w:cs="Arial"/>
          <w:sz w:val="28"/>
          <w:szCs w:val="28"/>
          <w:lang w:val="en"/>
        </w:rPr>
      </w:pPr>
      <w:r w:rsidRPr="00D6377E">
        <w:rPr>
          <w:rFonts w:ascii="Arial" w:hAnsi="Arial" w:cs="Arial"/>
          <w:sz w:val="28"/>
          <w:szCs w:val="28"/>
          <w:lang w:val="en"/>
        </w:rPr>
        <w:t xml:space="preserve">Offences covered by universal jurisdiction include certain war crimes, torture and hostage-taking and, under UK law, anyone can apply to the courts for an arrest warrant to ensure those guilty of these crimes abroad face justice here. </w:t>
      </w:r>
    </w:p>
    <w:p w14:paraId="61BE4BAB" w14:textId="77777777" w:rsidR="00D6377E" w:rsidRPr="00D6377E" w:rsidRDefault="00D6377E" w:rsidP="00D6377E">
      <w:pPr>
        <w:pStyle w:val="NormalWeb"/>
        <w:rPr>
          <w:rFonts w:ascii="Arial" w:hAnsi="Arial" w:cs="Arial"/>
          <w:sz w:val="28"/>
          <w:szCs w:val="28"/>
          <w:lang w:val="en"/>
        </w:rPr>
      </w:pPr>
      <w:r w:rsidRPr="00D6377E">
        <w:rPr>
          <w:rFonts w:ascii="Arial" w:hAnsi="Arial" w:cs="Arial"/>
          <w:sz w:val="28"/>
          <w:szCs w:val="28"/>
          <w:lang w:val="en"/>
        </w:rPr>
        <w:t xml:space="preserve">New changes to the law in the Police Reform and Social Responsibility Act will not affect this right and those accused of these grave crimes will still be brought to justice if there is sufficient evidence against them. However, as of today, the consent of the Director of Public Prosecutions will now be required before an arrest warrant is issued in universal jurisdiction cases brought by individuals. </w:t>
      </w:r>
    </w:p>
    <w:p w14:paraId="5C69D1C3" w14:textId="77777777" w:rsidR="00D6377E" w:rsidRPr="00D6377E" w:rsidRDefault="00D6377E" w:rsidP="00D6377E">
      <w:pPr>
        <w:pStyle w:val="NormalWeb"/>
        <w:rPr>
          <w:rFonts w:ascii="Arial" w:hAnsi="Arial" w:cs="Arial"/>
          <w:sz w:val="28"/>
          <w:szCs w:val="28"/>
          <w:lang w:val="en"/>
        </w:rPr>
      </w:pPr>
      <w:r w:rsidRPr="00D6377E">
        <w:rPr>
          <w:rFonts w:ascii="Arial" w:hAnsi="Arial" w:cs="Arial"/>
          <w:sz w:val="28"/>
          <w:szCs w:val="28"/>
          <w:lang w:val="en"/>
        </w:rPr>
        <w:t xml:space="preserve">This change to the law will ensure that the system is no longer open to abuse by people seeking warrants for grave crimes on the basis of scant evidence to make a political statement or to cause embarrassment. </w:t>
      </w:r>
    </w:p>
    <w:p w14:paraId="62A0FC3B" w14:textId="77777777" w:rsidR="00D6377E" w:rsidRPr="00D6377E" w:rsidRDefault="00D6377E" w:rsidP="00D6377E">
      <w:pPr>
        <w:pStyle w:val="NormalWeb"/>
        <w:rPr>
          <w:rFonts w:ascii="Arial" w:hAnsi="Arial" w:cs="Arial"/>
          <w:sz w:val="28"/>
          <w:szCs w:val="28"/>
          <w:lang w:val="en"/>
        </w:rPr>
      </w:pPr>
      <w:r w:rsidRPr="00D6377E">
        <w:rPr>
          <w:rStyle w:val="Strong"/>
          <w:rFonts w:ascii="Arial" w:hAnsi="Arial" w:cs="Arial"/>
          <w:b w:val="0"/>
          <w:sz w:val="28"/>
          <w:szCs w:val="28"/>
          <w:lang w:val="en"/>
        </w:rPr>
        <w:t>Justice Secretary Kenneth Clarke said:  </w:t>
      </w:r>
      <w:r w:rsidRPr="00D6377E">
        <w:rPr>
          <w:rFonts w:ascii="Arial" w:hAnsi="Arial" w:cs="Arial"/>
          <w:sz w:val="28"/>
          <w:szCs w:val="28"/>
          <w:lang w:val="en"/>
        </w:rPr>
        <w:br/>
        <w:t> </w:t>
      </w:r>
      <w:r w:rsidRPr="00D6377E">
        <w:rPr>
          <w:rFonts w:ascii="Arial" w:hAnsi="Arial" w:cs="Arial"/>
          <w:sz w:val="28"/>
          <w:szCs w:val="28"/>
          <w:lang w:val="en"/>
        </w:rPr>
        <w:br/>
        <w:t xml:space="preserve">‘We are clear about our international obligations and these new changes to existing law will ensure the balance is struck between ensuring those who are accused of such heinous crimes do not escape justice and that universal jurisdiction cases are only proceeded with on the basis of solid evidence that is likely to lead to a successful prosecution. </w:t>
      </w:r>
    </w:p>
    <w:p w14:paraId="54F94DD5" w14:textId="77777777" w:rsidR="00D6377E" w:rsidRPr="00D6377E" w:rsidRDefault="00D6377E" w:rsidP="00D6377E">
      <w:pPr>
        <w:pStyle w:val="NormalWeb"/>
        <w:rPr>
          <w:rFonts w:ascii="Arial" w:hAnsi="Arial" w:cs="Arial"/>
          <w:sz w:val="28"/>
          <w:szCs w:val="28"/>
          <w:lang w:val="en"/>
        </w:rPr>
      </w:pPr>
      <w:r w:rsidRPr="00D6377E">
        <w:rPr>
          <w:rFonts w:ascii="Arial" w:hAnsi="Arial" w:cs="Arial"/>
          <w:sz w:val="28"/>
          <w:szCs w:val="28"/>
          <w:lang w:val="en"/>
        </w:rPr>
        <w:t xml:space="preserve">‘These changes are essential to ensure we do not risk damaging our ability to help in conflict resolution or to pursue a coherent foreign policy.’ </w:t>
      </w:r>
    </w:p>
    <w:p w14:paraId="7B2BBB84" w14:textId="77777777" w:rsidR="00D6377E" w:rsidRPr="00D6377E" w:rsidRDefault="00D6377E" w:rsidP="00D6377E">
      <w:pPr>
        <w:pStyle w:val="NormalWeb"/>
        <w:rPr>
          <w:rFonts w:ascii="Arial" w:hAnsi="Arial" w:cs="Arial"/>
          <w:sz w:val="28"/>
          <w:szCs w:val="28"/>
          <w:lang w:val="en"/>
        </w:rPr>
      </w:pPr>
      <w:r w:rsidRPr="00D6377E">
        <w:rPr>
          <w:rFonts w:ascii="Arial" w:hAnsi="Arial" w:cs="Arial"/>
          <w:sz w:val="28"/>
          <w:szCs w:val="28"/>
          <w:lang w:val="en"/>
        </w:rPr>
        <w:lastRenderedPageBreak/>
        <w:t xml:space="preserve">In the past, attempts have been made to obtain warrants to arrest visiting foreign dignitaries such as Henry Kissinger, Chinese Trade Minister Bo </w:t>
      </w:r>
      <w:proofErr w:type="spellStart"/>
      <w:r w:rsidRPr="00D6377E">
        <w:rPr>
          <w:rFonts w:ascii="Arial" w:hAnsi="Arial" w:cs="Arial"/>
          <w:sz w:val="28"/>
          <w:szCs w:val="28"/>
          <w:lang w:val="en"/>
        </w:rPr>
        <w:t>Xilai</w:t>
      </w:r>
      <w:proofErr w:type="spellEnd"/>
      <w:r w:rsidRPr="00D6377E">
        <w:rPr>
          <w:rFonts w:ascii="Arial" w:hAnsi="Arial" w:cs="Arial"/>
          <w:sz w:val="28"/>
          <w:szCs w:val="28"/>
          <w:lang w:val="en"/>
        </w:rPr>
        <w:t xml:space="preserve"> and </w:t>
      </w:r>
      <w:proofErr w:type="spellStart"/>
      <w:r w:rsidRPr="00D6377E">
        <w:rPr>
          <w:rFonts w:ascii="Arial" w:hAnsi="Arial" w:cs="Arial"/>
          <w:sz w:val="28"/>
          <w:szCs w:val="28"/>
          <w:lang w:val="en"/>
        </w:rPr>
        <w:t>Tzipi</w:t>
      </w:r>
      <w:proofErr w:type="spellEnd"/>
      <w:r w:rsidRPr="00D6377E">
        <w:rPr>
          <w:rFonts w:ascii="Arial" w:hAnsi="Arial" w:cs="Arial"/>
          <w:sz w:val="28"/>
          <w:szCs w:val="28"/>
          <w:lang w:val="en"/>
        </w:rPr>
        <w:t xml:space="preserve"> </w:t>
      </w:r>
      <w:proofErr w:type="spellStart"/>
      <w:r w:rsidRPr="00D6377E">
        <w:rPr>
          <w:rFonts w:ascii="Arial" w:hAnsi="Arial" w:cs="Arial"/>
          <w:sz w:val="28"/>
          <w:szCs w:val="28"/>
          <w:lang w:val="en"/>
        </w:rPr>
        <w:t>Livni</w:t>
      </w:r>
      <w:proofErr w:type="spellEnd"/>
      <w:r w:rsidRPr="00D6377E">
        <w:rPr>
          <w:rFonts w:ascii="Arial" w:hAnsi="Arial" w:cs="Arial"/>
          <w:sz w:val="28"/>
          <w:szCs w:val="28"/>
          <w:lang w:val="en"/>
        </w:rPr>
        <w:t xml:space="preserve">, former Foreign Minister and now leader of the Opposition in Israel. </w:t>
      </w:r>
    </w:p>
    <w:p w14:paraId="57C5C0AC" w14:textId="77777777" w:rsidR="00D6377E" w:rsidRPr="00D6377E" w:rsidRDefault="00D6377E" w:rsidP="00D6377E">
      <w:pPr>
        <w:pStyle w:val="Heading3"/>
        <w:rPr>
          <w:rFonts w:ascii="Arial" w:hAnsi="Arial" w:cs="Arial"/>
          <w:color w:val="auto"/>
          <w:sz w:val="28"/>
          <w:szCs w:val="28"/>
          <w:lang w:val="en"/>
        </w:rPr>
      </w:pPr>
      <w:r w:rsidRPr="00D6377E">
        <w:rPr>
          <w:rFonts w:ascii="Arial" w:hAnsi="Arial" w:cs="Arial"/>
          <w:color w:val="auto"/>
          <w:sz w:val="28"/>
          <w:szCs w:val="28"/>
          <w:lang w:val="en"/>
        </w:rPr>
        <w:t>Notes to Editors</w:t>
      </w:r>
    </w:p>
    <w:p w14:paraId="587D5AED" w14:textId="77777777" w:rsidR="00D6377E" w:rsidRPr="00D6377E" w:rsidRDefault="00D6377E" w:rsidP="00D6377E">
      <w:pPr>
        <w:numPr>
          <w:ilvl w:val="0"/>
          <w:numId w:val="1"/>
        </w:numPr>
        <w:spacing w:before="100" w:beforeAutospacing="1" w:after="100" w:afterAutospacing="1" w:line="240" w:lineRule="auto"/>
        <w:jc w:val="left"/>
        <w:rPr>
          <w:rFonts w:ascii="Arial" w:hAnsi="Arial" w:cs="Arial"/>
          <w:sz w:val="28"/>
          <w:szCs w:val="28"/>
          <w:lang w:val="en"/>
        </w:rPr>
      </w:pPr>
      <w:r w:rsidRPr="00D6377E">
        <w:rPr>
          <w:rFonts w:ascii="Arial" w:hAnsi="Arial" w:cs="Arial"/>
          <w:sz w:val="28"/>
          <w:szCs w:val="28"/>
          <w:lang w:val="en"/>
        </w:rPr>
        <w:t>War crimes under the Geneva Conventions Act 1957, and a small number of other grave offences, are subject to universal jurisdiction. This enables prosecution to take place here even though the offence was committed outside the United Kingdom, and irrespective of nationality. </w:t>
      </w:r>
    </w:p>
    <w:p w14:paraId="5C162B22" w14:textId="77777777" w:rsidR="00D6377E" w:rsidRPr="00D6377E" w:rsidRDefault="00D6377E" w:rsidP="00D6377E">
      <w:pPr>
        <w:numPr>
          <w:ilvl w:val="0"/>
          <w:numId w:val="1"/>
        </w:numPr>
        <w:spacing w:before="100" w:beforeAutospacing="1" w:after="100" w:afterAutospacing="1" w:line="240" w:lineRule="auto"/>
        <w:jc w:val="left"/>
        <w:rPr>
          <w:rFonts w:ascii="Arial" w:hAnsi="Arial" w:cs="Arial"/>
          <w:sz w:val="28"/>
          <w:szCs w:val="28"/>
          <w:lang w:val="en"/>
        </w:rPr>
      </w:pPr>
      <w:r w:rsidRPr="00D6377E">
        <w:rPr>
          <w:rFonts w:ascii="Arial" w:hAnsi="Arial" w:cs="Arial"/>
          <w:sz w:val="28"/>
          <w:szCs w:val="28"/>
          <w:lang w:val="en"/>
        </w:rPr>
        <w:t>A private prosecution can be brought in universal jurisdiction cases. It is open to any individual to initiate criminal proceedings by applying to Westminster Magistrates Court for a summons or an arrest warrant. </w:t>
      </w:r>
    </w:p>
    <w:p w14:paraId="5981ACEA" w14:textId="77777777" w:rsidR="00D6377E" w:rsidRPr="00D6377E" w:rsidRDefault="00D6377E" w:rsidP="00D6377E">
      <w:pPr>
        <w:numPr>
          <w:ilvl w:val="0"/>
          <w:numId w:val="1"/>
        </w:numPr>
        <w:spacing w:before="100" w:beforeAutospacing="1" w:after="100" w:afterAutospacing="1" w:line="240" w:lineRule="auto"/>
        <w:jc w:val="left"/>
        <w:rPr>
          <w:rFonts w:ascii="Arial" w:hAnsi="Arial" w:cs="Arial"/>
          <w:sz w:val="28"/>
          <w:szCs w:val="28"/>
          <w:lang w:val="en"/>
        </w:rPr>
      </w:pPr>
      <w:r w:rsidRPr="00D6377E">
        <w:rPr>
          <w:rFonts w:ascii="Arial" w:hAnsi="Arial" w:cs="Arial"/>
          <w:sz w:val="28"/>
          <w:szCs w:val="28"/>
          <w:lang w:val="en"/>
        </w:rPr>
        <w:t>The evidence required for the issue of a summons or warrant is far less onerous than that required by the Crown Prosecution Service (CPS) in determining whether a prosecution should go ahead. The court must simply be shown some information that an offence has been committed by the accused, and it does not need to decide that there is a realistic prospect of conviction. </w:t>
      </w:r>
    </w:p>
    <w:p w14:paraId="5ED3669F" w14:textId="77777777" w:rsidR="00D6377E" w:rsidRPr="00D6377E" w:rsidRDefault="00D6377E" w:rsidP="00D6377E">
      <w:pPr>
        <w:numPr>
          <w:ilvl w:val="0"/>
          <w:numId w:val="1"/>
        </w:numPr>
        <w:spacing w:before="100" w:beforeAutospacing="1" w:after="100" w:afterAutospacing="1" w:line="240" w:lineRule="auto"/>
        <w:jc w:val="left"/>
        <w:rPr>
          <w:rFonts w:ascii="Arial" w:hAnsi="Arial" w:cs="Arial"/>
          <w:sz w:val="28"/>
          <w:szCs w:val="28"/>
          <w:lang w:val="en"/>
        </w:rPr>
      </w:pPr>
      <w:r w:rsidRPr="00D6377E">
        <w:rPr>
          <w:rFonts w:ascii="Arial" w:hAnsi="Arial" w:cs="Arial"/>
          <w:sz w:val="28"/>
          <w:szCs w:val="28"/>
          <w:lang w:val="en"/>
        </w:rPr>
        <w:t>For more information contact the Ministry of Justice Press Office on 020 3334 3540.</w:t>
      </w:r>
    </w:p>
    <w:p w14:paraId="6F14C4E4" w14:textId="77777777" w:rsidR="00D6377E" w:rsidRDefault="00D6377E"/>
    <w:sectPr w:rsidR="00D63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047D3"/>
    <w:multiLevelType w:val="multilevel"/>
    <w:tmpl w:val="7486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7E"/>
    <w:rsid w:val="00C8741F"/>
    <w:rsid w:val="00D6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8506"/>
  <w15:chartTrackingRefBased/>
  <w15:docId w15:val="{03EAB528-5A9C-41B8-B765-DF5C7E44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6377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63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77E"/>
    <w:rPr>
      <w:rFonts w:ascii="Times New Roman" w:eastAsia="Times New Roman" w:hAnsi="Times New Roman" w:cs="Times New Roman"/>
      <w:b/>
      <w:bCs/>
      <w:kern w:val="36"/>
      <w:sz w:val="48"/>
      <w:szCs w:val="48"/>
    </w:rPr>
  </w:style>
  <w:style w:type="paragraph" w:customStyle="1" w:styleId="type">
    <w:name w:val="type"/>
    <w:basedOn w:val="Normal"/>
    <w:rsid w:val="00D6377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377E"/>
    <w:rPr>
      <w:color w:val="0000FF"/>
      <w:u w:val="single"/>
    </w:rPr>
  </w:style>
  <w:style w:type="character" w:customStyle="1" w:styleId="Heading3Char">
    <w:name w:val="Heading 3 Char"/>
    <w:basedOn w:val="DefaultParagraphFont"/>
    <w:link w:val="Heading3"/>
    <w:uiPriority w:val="9"/>
    <w:semiHidden/>
    <w:rsid w:val="00D6377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6377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63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3349">
      <w:bodyDiv w:val="1"/>
      <w:marLeft w:val="0"/>
      <w:marRight w:val="0"/>
      <w:marTop w:val="0"/>
      <w:marBottom w:val="0"/>
      <w:divBdr>
        <w:top w:val="none" w:sz="0" w:space="0" w:color="auto"/>
        <w:left w:val="none" w:sz="0" w:space="0" w:color="auto"/>
        <w:bottom w:val="none" w:sz="0" w:space="0" w:color="auto"/>
        <w:right w:val="none" w:sz="0" w:space="0" w:color="auto"/>
      </w:divBdr>
      <w:divsChild>
        <w:div w:id="1043333572">
          <w:marLeft w:val="0"/>
          <w:marRight w:val="0"/>
          <w:marTop w:val="0"/>
          <w:marBottom w:val="0"/>
          <w:divBdr>
            <w:top w:val="none" w:sz="0" w:space="0" w:color="auto"/>
            <w:left w:val="none" w:sz="0" w:space="0" w:color="auto"/>
            <w:bottom w:val="none" w:sz="0" w:space="0" w:color="auto"/>
            <w:right w:val="none" w:sz="0" w:space="0" w:color="auto"/>
          </w:divBdr>
          <w:divsChild>
            <w:div w:id="670523213">
              <w:marLeft w:val="0"/>
              <w:marRight w:val="0"/>
              <w:marTop w:val="0"/>
              <w:marBottom w:val="0"/>
              <w:divBdr>
                <w:top w:val="none" w:sz="0" w:space="0" w:color="auto"/>
                <w:left w:val="none" w:sz="0" w:space="0" w:color="auto"/>
                <w:bottom w:val="none" w:sz="0" w:space="0" w:color="auto"/>
                <w:right w:val="none" w:sz="0" w:space="0" w:color="auto"/>
              </w:divBdr>
              <w:divsChild>
                <w:div w:id="67656321">
                  <w:marLeft w:val="0"/>
                  <w:marRight w:val="0"/>
                  <w:marTop w:val="0"/>
                  <w:marBottom w:val="0"/>
                  <w:divBdr>
                    <w:top w:val="none" w:sz="0" w:space="0" w:color="auto"/>
                    <w:left w:val="none" w:sz="0" w:space="0" w:color="auto"/>
                    <w:bottom w:val="none" w:sz="0" w:space="0" w:color="auto"/>
                    <w:right w:val="none" w:sz="0" w:space="0" w:color="auto"/>
                  </w:divBdr>
                  <w:divsChild>
                    <w:div w:id="345399626">
                      <w:marLeft w:val="0"/>
                      <w:marRight w:val="0"/>
                      <w:marTop w:val="0"/>
                      <w:marBottom w:val="0"/>
                      <w:divBdr>
                        <w:top w:val="none" w:sz="0" w:space="0" w:color="auto"/>
                        <w:left w:val="none" w:sz="0" w:space="0" w:color="auto"/>
                        <w:bottom w:val="none" w:sz="0" w:space="0" w:color="auto"/>
                        <w:right w:val="none" w:sz="0" w:space="0" w:color="auto"/>
                      </w:divBdr>
                      <w:divsChild>
                        <w:div w:id="21410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7932">
      <w:bodyDiv w:val="1"/>
      <w:marLeft w:val="0"/>
      <w:marRight w:val="0"/>
      <w:marTop w:val="0"/>
      <w:marBottom w:val="0"/>
      <w:divBdr>
        <w:top w:val="none" w:sz="0" w:space="0" w:color="auto"/>
        <w:left w:val="none" w:sz="0" w:space="0" w:color="auto"/>
        <w:bottom w:val="none" w:sz="0" w:space="0" w:color="auto"/>
        <w:right w:val="none" w:sz="0" w:space="0" w:color="auto"/>
      </w:divBdr>
      <w:divsChild>
        <w:div w:id="862206082">
          <w:marLeft w:val="0"/>
          <w:marRight w:val="0"/>
          <w:marTop w:val="0"/>
          <w:marBottom w:val="0"/>
          <w:divBdr>
            <w:top w:val="none" w:sz="0" w:space="0" w:color="auto"/>
            <w:left w:val="none" w:sz="0" w:space="0" w:color="auto"/>
            <w:bottom w:val="none" w:sz="0" w:space="0" w:color="auto"/>
            <w:right w:val="none" w:sz="0" w:space="0" w:color="auto"/>
          </w:divBdr>
          <w:divsChild>
            <w:div w:id="1479763262">
              <w:marLeft w:val="0"/>
              <w:marRight w:val="0"/>
              <w:marTop w:val="0"/>
              <w:marBottom w:val="0"/>
              <w:divBdr>
                <w:top w:val="none" w:sz="0" w:space="0" w:color="auto"/>
                <w:left w:val="none" w:sz="0" w:space="0" w:color="auto"/>
                <w:bottom w:val="none" w:sz="0" w:space="0" w:color="auto"/>
                <w:right w:val="none" w:sz="0" w:space="0" w:color="auto"/>
              </w:divBdr>
              <w:divsChild>
                <w:div w:id="131993597">
                  <w:marLeft w:val="0"/>
                  <w:marRight w:val="0"/>
                  <w:marTop w:val="0"/>
                  <w:marBottom w:val="0"/>
                  <w:divBdr>
                    <w:top w:val="none" w:sz="0" w:space="0" w:color="auto"/>
                    <w:left w:val="none" w:sz="0" w:space="0" w:color="auto"/>
                    <w:bottom w:val="none" w:sz="0" w:space="0" w:color="auto"/>
                    <w:right w:val="none" w:sz="0" w:space="0" w:color="auto"/>
                  </w:divBdr>
                  <w:divsChild>
                    <w:div w:id="9613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5339">
      <w:bodyDiv w:val="1"/>
      <w:marLeft w:val="0"/>
      <w:marRight w:val="0"/>
      <w:marTop w:val="0"/>
      <w:marBottom w:val="0"/>
      <w:divBdr>
        <w:top w:val="none" w:sz="0" w:space="0" w:color="auto"/>
        <w:left w:val="none" w:sz="0" w:space="0" w:color="auto"/>
        <w:bottom w:val="none" w:sz="0" w:space="0" w:color="auto"/>
        <w:right w:val="none" w:sz="0" w:space="0" w:color="auto"/>
      </w:divBdr>
      <w:divsChild>
        <w:div w:id="1788160303">
          <w:marLeft w:val="0"/>
          <w:marRight w:val="0"/>
          <w:marTop w:val="0"/>
          <w:marBottom w:val="0"/>
          <w:divBdr>
            <w:top w:val="none" w:sz="0" w:space="0" w:color="auto"/>
            <w:left w:val="none" w:sz="0" w:space="0" w:color="auto"/>
            <w:bottom w:val="none" w:sz="0" w:space="0" w:color="auto"/>
            <w:right w:val="none" w:sz="0" w:space="0" w:color="auto"/>
          </w:divBdr>
          <w:divsChild>
            <w:div w:id="970676493">
              <w:marLeft w:val="0"/>
              <w:marRight w:val="0"/>
              <w:marTop w:val="0"/>
              <w:marBottom w:val="0"/>
              <w:divBdr>
                <w:top w:val="none" w:sz="0" w:space="0" w:color="auto"/>
                <w:left w:val="none" w:sz="0" w:space="0" w:color="auto"/>
                <w:bottom w:val="none" w:sz="0" w:space="0" w:color="auto"/>
                <w:right w:val="none" w:sz="0" w:space="0" w:color="auto"/>
              </w:divBdr>
              <w:divsChild>
                <w:div w:id="107553502">
                  <w:marLeft w:val="0"/>
                  <w:marRight w:val="0"/>
                  <w:marTop w:val="0"/>
                  <w:marBottom w:val="0"/>
                  <w:divBdr>
                    <w:top w:val="none" w:sz="0" w:space="0" w:color="auto"/>
                    <w:left w:val="none" w:sz="0" w:space="0" w:color="auto"/>
                    <w:bottom w:val="none" w:sz="0" w:space="0" w:color="auto"/>
                    <w:right w:val="none" w:sz="0" w:space="0" w:color="auto"/>
                  </w:divBdr>
                  <w:divsChild>
                    <w:div w:id="1104231645">
                      <w:marLeft w:val="0"/>
                      <w:marRight w:val="0"/>
                      <w:marTop w:val="0"/>
                      <w:marBottom w:val="0"/>
                      <w:divBdr>
                        <w:top w:val="none" w:sz="0" w:space="0" w:color="auto"/>
                        <w:left w:val="none" w:sz="0" w:space="0" w:color="auto"/>
                        <w:bottom w:val="none" w:sz="0" w:space="0" w:color="auto"/>
                        <w:right w:val="none" w:sz="0" w:space="0" w:color="auto"/>
                      </w:divBdr>
                      <w:divsChild>
                        <w:div w:id="1075975138">
                          <w:marLeft w:val="0"/>
                          <w:marRight w:val="0"/>
                          <w:marTop w:val="0"/>
                          <w:marBottom w:val="0"/>
                          <w:divBdr>
                            <w:top w:val="none" w:sz="0" w:space="0" w:color="auto"/>
                            <w:left w:val="none" w:sz="0" w:space="0" w:color="auto"/>
                            <w:bottom w:val="none" w:sz="0" w:space="0" w:color="auto"/>
                            <w:right w:val="none" w:sz="0" w:space="0" w:color="auto"/>
                          </w:divBdr>
                          <w:divsChild>
                            <w:div w:id="8241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universal-jurisdi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eople/kenneth-clarke" TargetMode="External"/><Relationship Id="rId5" Type="http://schemas.openxmlformats.org/officeDocument/2006/relationships/hyperlink" Target="https://www.gov.uk/government/organisations/ministry-of-just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2015-07-24T19:53:00Z</dcterms:created>
  <dcterms:modified xsi:type="dcterms:W3CDTF">2015-07-24T19:56:00Z</dcterms:modified>
</cp:coreProperties>
</file>