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88C" w:rsidRPr="000E488C" w:rsidRDefault="000E488C" w:rsidP="000E488C">
      <w:pPr>
        <w:pBdr>
          <w:top w:val="single" w:sz="6" w:space="8" w:color="E7EAEF"/>
        </w:pBdr>
        <w:spacing w:after="150" w:line="240" w:lineRule="auto"/>
        <w:outlineLvl w:val="0"/>
        <w:rPr>
          <w:rFonts w:ascii="droid_serifbold" w:eastAsia="Times New Roman" w:hAnsi="droid_serifbold" w:cs="Arial"/>
          <w:kern w:val="36"/>
          <w:sz w:val="40"/>
          <w:szCs w:val="40"/>
          <w:lang w:val="en"/>
        </w:rPr>
      </w:pPr>
      <w:r w:rsidRPr="000E488C">
        <w:rPr>
          <w:rFonts w:ascii="droid_serifbold" w:eastAsia="Times New Roman" w:hAnsi="droid_serifbold" w:cs="Arial"/>
          <w:kern w:val="36"/>
          <w:sz w:val="40"/>
          <w:szCs w:val="40"/>
          <w:lang w:val="en"/>
        </w:rPr>
        <w:t>Stat</w:t>
      </w:r>
      <w:bookmarkStart w:id="0" w:name="_GoBack"/>
      <w:bookmarkEnd w:id="0"/>
      <w:r w:rsidRPr="000E488C">
        <w:rPr>
          <w:rFonts w:ascii="droid_serifbold" w:eastAsia="Times New Roman" w:hAnsi="droid_serifbold" w:cs="Arial"/>
          <w:kern w:val="36"/>
          <w:sz w:val="40"/>
          <w:szCs w:val="40"/>
          <w:lang w:val="en"/>
        </w:rPr>
        <w:t xml:space="preserve">ement by the </w:t>
      </w:r>
      <w:r w:rsidR="00AF484A">
        <w:rPr>
          <w:rFonts w:ascii="droid_serifbold" w:eastAsia="Times New Roman" w:hAnsi="droid_serifbold" w:cs="Arial"/>
          <w:kern w:val="36"/>
          <w:sz w:val="40"/>
          <w:szCs w:val="40"/>
          <w:lang w:val="en"/>
        </w:rPr>
        <w:t xml:space="preserve">Middle East </w:t>
      </w:r>
      <w:r w:rsidRPr="000E488C">
        <w:rPr>
          <w:rFonts w:ascii="droid_serifbold" w:eastAsia="Times New Roman" w:hAnsi="droid_serifbold" w:cs="Arial"/>
          <w:kern w:val="36"/>
          <w:sz w:val="40"/>
          <w:szCs w:val="40"/>
          <w:lang w:val="en"/>
        </w:rPr>
        <w:t xml:space="preserve">Quartet's Principals </w:t>
      </w:r>
    </w:p>
    <w:p w:rsidR="000E488C" w:rsidRPr="000E488C" w:rsidRDefault="000E488C" w:rsidP="000E488C">
      <w:pPr>
        <w:spacing w:after="0" w:line="240" w:lineRule="auto"/>
        <w:rPr>
          <w:rFonts w:ascii="open_sansregular" w:eastAsia="Times New Roman" w:hAnsi="open_sansregular" w:cs="Arial"/>
          <w:sz w:val="24"/>
          <w:szCs w:val="24"/>
          <w:lang w:val="en"/>
        </w:rPr>
      </w:pPr>
      <w:r w:rsidRPr="000E488C">
        <w:rPr>
          <w:rFonts w:ascii="open_sansregular" w:eastAsia="Times New Roman" w:hAnsi="open_sansregular" w:cs="Arial"/>
          <w:sz w:val="24"/>
          <w:szCs w:val="24"/>
          <w:lang w:val="en"/>
        </w:rPr>
        <w:t>September 23, 2016</w:t>
      </w:r>
    </w:p>
    <w:p w:rsidR="000E488C" w:rsidRPr="000E488C" w:rsidRDefault="000E488C" w:rsidP="000E488C">
      <w:pPr>
        <w:spacing w:after="0" w:line="240" w:lineRule="auto"/>
        <w:rPr>
          <w:rFonts w:ascii="open_sansregular" w:eastAsia="Times New Roman" w:hAnsi="open_sansregular" w:cs="Arial"/>
          <w:sz w:val="24"/>
          <w:szCs w:val="24"/>
          <w:lang w:val="en"/>
        </w:rPr>
      </w:pPr>
      <w:r w:rsidRPr="000E488C">
        <w:rPr>
          <w:rFonts w:ascii="open_sansregular" w:eastAsia="Times New Roman" w:hAnsi="open_sansregular" w:cs="Arial"/>
          <w:sz w:val="24"/>
          <w:szCs w:val="24"/>
          <w:lang w:val="en"/>
        </w:rPr>
        <w:t>Joint Statements</w:t>
      </w:r>
    </w:p>
    <w:p w:rsidR="000E488C" w:rsidRPr="000E488C" w:rsidRDefault="000E488C" w:rsidP="000E488C">
      <w:pPr>
        <w:spacing w:after="0" w:line="240" w:lineRule="auto"/>
        <w:rPr>
          <w:rFonts w:ascii="open_sansregular" w:eastAsia="Times New Roman" w:hAnsi="open_sansregular" w:cs="Arial"/>
          <w:sz w:val="24"/>
          <w:szCs w:val="24"/>
          <w:lang w:val="en"/>
        </w:rPr>
      </w:pPr>
      <w:r w:rsidRPr="000E488C">
        <w:rPr>
          <w:rFonts w:ascii="open_sansregular" w:eastAsia="Times New Roman" w:hAnsi="open_sansregular" w:cs="Arial"/>
          <w:sz w:val="24"/>
          <w:szCs w:val="24"/>
          <w:lang w:val="en"/>
        </w:rPr>
        <w:t>European External Access Service</w:t>
      </w:r>
    </w:p>
    <w:p w:rsidR="000E488C" w:rsidRPr="000E488C" w:rsidRDefault="000E488C" w:rsidP="000E488C">
      <w:pPr>
        <w:spacing w:after="0" w:line="240" w:lineRule="auto"/>
        <w:rPr>
          <w:rFonts w:ascii="open_sansregular" w:eastAsia="Times New Roman" w:hAnsi="open_sansregular" w:cs="Arial"/>
          <w:sz w:val="24"/>
          <w:szCs w:val="24"/>
          <w:lang w:val="en"/>
        </w:rPr>
      </w:pPr>
      <w:r w:rsidRPr="000E488C">
        <w:rPr>
          <w:rFonts w:ascii="open_sansregular" w:eastAsia="Times New Roman" w:hAnsi="open_sansregular" w:cs="Arial"/>
          <w:sz w:val="24"/>
          <w:szCs w:val="24"/>
          <w:lang w:val="en"/>
        </w:rPr>
        <w:t>https://eeas.europa.eu/headquarters/headquarters-homepage/10385/statement-by-the-quartets-principals_en</w:t>
      </w:r>
    </w:p>
    <w:p w:rsidR="000E488C" w:rsidRPr="000E488C" w:rsidRDefault="000E488C" w:rsidP="000E488C">
      <w:pPr>
        <w:spacing w:after="150" w:line="240" w:lineRule="auto"/>
        <w:rPr>
          <w:rFonts w:ascii="open_sansregular" w:eastAsia="Times New Roman" w:hAnsi="open_sansregular" w:cs="Arial"/>
          <w:sz w:val="24"/>
          <w:szCs w:val="24"/>
          <w:lang w:val="en"/>
        </w:rPr>
      </w:pPr>
    </w:p>
    <w:p w:rsidR="000E488C" w:rsidRPr="000E488C" w:rsidRDefault="000E488C" w:rsidP="000E488C">
      <w:pPr>
        <w:shd w:val="clear" w:color="auto" w:fill="FFFFFF"/>
        <w:spacing w:after="150" w:line="240" w:lineRule="auto"/>
        <w:rPr>
          <w:rFonts w:ascii="open_sansregular" w:eastAsia="Times New Roman" w:hAnsi="open_sansregular" w:cs="Arial"/>
          <w:sz w:val="26"/>
          <w:szCs w:val="26"/>
          <w:lang w:val="en"/>
        </w:rPr>
      </w:pPr>
      <w:r w:rsidRPr="000E488C">
        <w:rPr>
          <w:rFonts w:ascii="open_sansregular" w:eastAsia="Times New Roman" w:hAnsi="open_sansregular" w:cs="Arial"/>
          <w:sz w:val="26"/>
          <w:szCs w:val="26"/>
          <w:lang w:val="en"/>
        </w:rPr>
        <w:t xml:space="preserve">Representatives of the Quartet — United Nations Secretary-General Ban Ki-moon, Russian Foreign Minister Sergey </w:t>
      </w:r>
      <w:proofErr w:type="spellStart"/>
      <w:r w:rsidRPr="000E488C">
        <w:rPr>
          <w:rFonts w:ascii="open_sansregular" w:eastAsia="Times New Roman" w:hAnsi="open_sansregular" w:cs="Arial"/>
          <w:sz w:val="26"/>
          <w:szCs w:val="26"/>
          <w:lang w:val="en"/>
        </w:rPr>
        <w:t>Lavrov</w:t>
      </w:r>
      <w:proofErr w:type="spellEnd"/>
      <w:r w:rsidRPr="000E488C">
        <w:rPr>
          <w:rFonts w:ascii="open_sansregular" w:eastAsia="Times New Roman" w:hAnsi="open_sansregular" w:cs="Arial"/>
          <w:sz w:val="26"/>
          <w:szCs w:val="26"/>
          <w:lang w:val="en"/>
        </w:rPr>
        <w:t>, United States Secretary of State John Kerry and European Union High Representative for Common Foreign and Security Policy Federica Mogherini — met in New York on 23 September. </w:t>
      </w:r>
    </w:p>
    <w:p w:rsidR="000E488C" w:rsidRPr="000E488C" w:rsidRDefault="000E488C" w:rsidP="000E488C">
      <w:pPr>
        <w:shd w:val="clear" w:color="auto" w:fill="FFFFFF"/>
        <w:spacing w:after="150" w:line="240" w:lineRule="auto"/>
        <w:rPr>
          <w:rFonts w:ascii="open_sansregular" w:eastAsia="Times New Roman" w:hAnsi="open_sansregular" w:cs="Arial"/>
          <w:sz w:val="26"/>
          <w:szCs w:val="26"/>
          <w:lang w:val="en"/>
        </w:rPr>
      </w:pPr>
      <w:r w:rsidRPr="000E488C">
        <w:rPr>
          <w:rFonts w:ascii="open_sansregular" w:eastAsia="Times New Roman" w:hAnsi="open_sansregular" w:cs="Arial"/>
          <w:sz w:val="26"/>
          <w:szCs w:val="26"/>
          <w:lang w:val="en"/>
        </w:rPr>
        <w:t>The Quartet Principals were joined by the Foreign Ministers of Egypt and France during the second part of the meeting to brief on their work to support Middle East peace. All agreed on the importance of close and continuing coordination of all efforts to achieve the common goal of the two-state solution.</w:t>
      </w:r>
    </w:p>
    <w:p w:rsidR="000E488C" w:rsidRPr="000E488C" w:rsidRDefault="000E488C" w:rsidP="000E488C">
      <w:pPr>
        <w:shd w:val="clear" w:color="auto" w:fill="FFFFFF"/>
        <w:spacing w:after="150" w:line="240" w:lineRule="auto"/>
        <w:rPr>
          <w:rFonts w:ascii="open_sansregular" w:eastAsia="Times New Roman" w:hAnsi="open_sansregular" w:cs="Arial"/>
          <w:sz w:val="26"/>
          <w:szCs w:val="26"/>
          <w:lang w:val="en"/>
        </w:rPr>
      </w:pPr>
      <w:r w:rsidRPr="000E488C">
        <w:rPr>
          <w:rFonts w:ascii="open_sansregular" w:eastAsia="Times New Roman" w:hAnsi="open_sansregular" w:cs="Arial"/>
          <w:sz w:val="26"/>
          <w:szCs w:val="26"/>
          <w:lang w:val="en"/>
        </w:rPr>
        <w:t>The Quartet reiterated its call on the parties to implement the recommendations of the Quartet Report of 1 July 2016, and create the conditions for the resumption of meaningful negotiations that will end the occupation that began in 1967 and resolve all final status issues.</w:t>
      </w:r>
    </w:p>
    <w:p w:rsidR="000E488C" w:rsidRPr="000E488C" w:rsidRDefault="000E488C" w:rsidP="000E488C">
      <w:pPr>
        <w:shd w:val="clear" w:color="auto" w:fill="FFFFFF"/>
        <w:spacing w:after="150" w:line="240" w:lineRule="auto"/>
        <w:rPr>
          <w:rFonts w:ascii="open_sansregular" w:eastAsia="Times New Roman" w:hAnsi="open_sansregular" w:cs="Arial"/>
          <w:sz w:val="26"/>
          <w:szCs w:val="26"/>
          <w:lang w:val="en"/>
        </w:rPr>
      </w:pPr>
      <w:r w:rsidRPr="000E488C">
        <w:rPr>
          <w:rFonts w:ascii="open_sansregular" w:eastAsia="Times New Roman" w:hAnsi="open_sansregular" w:cs="Arial"/>
          <w:sz w:val="26"/>
          <w:szCs w:val="26"/>
          <w:lang w:val="en"/>
        </w:rPr>
        <w:t>The Quartet recalled its findings from the Quartet Report and expressed concern about recent actions on the ground that run counter to its recommendations. In particular:  </w:t>
      </w:r>
    </w:p>
    <w:p w:rsidR="000E488C" w:rsidRPr="000E488C" w:rsidRDefault="000E488C" w:rsidP="000E488C">
      <w:pPr>
        <w:numPr>
          <w:ilvl w:val="0"/>
          <w:numId w:val="1"/>
        </w:numPr>
        <w:shd w:val="clear" w:color="auto" w:fill="FFFFFF"/>
        <w:spacing w:before="100" w:beforeAutospacing="1" w:after="100" w:afterAutospacing="1" w:line="240" w:lineRule="auto"/>
        <w:ind w:left="270"/>
        <w:rPr>
          <w:rFonts w:ascii="open_sansregular" w:eastAsia="Times New Roman" w:hAnsi="open_sansregular" w:cs="Arial"/>
          <w:sz w:val="26"/>
          <w:szCs w:val="26"/>
          <w:lang w:val="en"/>
        </w:rPr>
      </w:pPr>
      <w:r w:rsidRPr="000E488C">
        <w:rPr>
          <w:rFonts w:ascii="open_sansregular" w:eastAsia="Times New Roman" w:hAnsi="open_sansregular" w:cs="Arial"/>
          <w:sz w:val="26"/>
          <w:szCs w:val="26"/>
          <w:lang w:val="en"/>
        </w:rPr>
        <w:t>The Quartet emphasized its strong opposition to ongoing settlement activity, which is an obstacle to peace, and expressed its grave concern that the acceleration of settlement construction and expansion in Area C and East Jerusalem, including the retroactive “legalization” of existing units, and the continued high rate of demolitions of Palestinian structures, are steadily eroding the viability of the two state solution.  </w:t>
      </w:r>
    </w:p>
    <w:p w:rsidR="000E488C" w:rsidRPr="000E488C" w:rsidRDefault="000E488C" w:rsidP="000E488C">
      <w:pPr>
        <w:numPr>
          <w:ilvl w:val="0"/>
          <w:numId w:val="1"/>
        </w:numPr>
        <w:shd w:val="clear" w:color="auto" w:fill="FFFFFF"/>
        <w:spacing w:before="100" w:beforeAutospacing="1" w:after="100" w:afterAutospacing="1" w:line="240" w:lineRule="auto"/>
        <w:ind w:left="270"/>
        <w:rPr>
          <w:rFonts w:ascii="open_sansregular" w:eastAsia="Times New Roman" w:hAnsi="open_sansregular" w:cs="Arial"/>
          <w:sz w:val="26"/>
          <w:szCs w:val="26"/>
          <w:lang w:val="en"/>
        </w:rPr>
      </w:pPr>
      <w:r w:rsidRPr="000E488C">
        <w:rPr>
          <w:rFonts w:ascii="open_sansregular" w:eastAsia="Times New Roman" w:hAnsi="open_sansregular" w:cs="Arial"/>
          <w:sz w:val="26"/>
          <w:szCs w:val="26"/>
          <w:lang w:val="en"/>
        </w:rPr>
        <w:t>The Quartet expressed serious concern for the continuing dire humanitarian situation in Gaza, exacerbated by the closures of the crossings as well as for the illicit arms build-up and activity by militant Palestinian groups, including rockets fired towards Israel, which increase the risk of renewed conflict. In addition, advancing Palestinian national unity on the basis of the PLO platform and Quartet principles remains a priority.</w:t>
      </w:r>
    </w:p>
    <w:p w:rsidR="000E488C" w:rsidRPr="000E488C" w:rsidRDefault="000E488C" w:rsidP="000E488C">
      <w:pPr>
        <w:numPr>
          <w:ilvl w:val="0"/>
          <w:numId w:val="1"/>
        </w:numPr>
        <w:shd w:val="clear" w:color="auto" w:fill="FFFFFF"/>
        <w:spacing w:before="100" w:beforeAutospacing="1" w:after="100" w:afterAutospacing="1" w:line="240" w:lineRule="auto"/>
        <w:ind w:left="270"/>
        <w:rPr>
          <w:rFonts w:ascii="open_sansregular" w:eastAsia="Times New Roman" w:hAnsi="open_sansregular" w:cs="Arial"/>
          <w:sz w:val="26"/>
          <w:szCs w:val="26"/>
          <w:lang w:val="en"/>
        </w:rPr>
      </w:pPr>
      <w:r w:rsidRPr="000E488C">
        <w:rPr>
          <w:rFonts w:ascii="open_sansregular" w:eastAsia="Times New Roman" w:hAnsi="open_sansregular" w:cs="Arial"/>
          <w:sz w:val="26"/>
          <w:szCs w:val="26"/>
          <w:lang w:val="en"/>
        </w:rPr>
        <w:t>The Quartet condemned the recent resurgence of violence and called on all sides to take all necessary steps to de-escalate tensions by exercising restraint, preventing incitement, refraining from provocative actions and rhetoric, and protecting the lives and property of all civilians.    </w:t>
      </w:r>
    </w:p>
    <w:p w:rsidR="000E488C" w:rsidRPr="000E488C" w:rsidRDefault="000E488C" w:rsidP="000E488C">
      <w:pPr>
        <w:shd w:val="clear" w:color="auto" w:fill="FFFFFF"/>
        <w:spacing w:after="150" w:line="240" w:lineRule="auto"/>
        <w:rPr>
          <w:rFonts w:ascii="open_sansregular" w:eastAsia="Times New Roman" w:hAnsi="open_sansregular" w:cs="Arial"/>
          <w:sz w:val="26"/>
          <w:szCs w:val="26"/>
          <w:lang w:val="en"/>
        </w:rPr>
      </w:pPr>
      <w:r w:rsidRPr="000E488C">
        <w:rPr>
          <w:rFonts w:ascii="open_sansregular" w:eastAsia="Times New Roman" w:hAnsi="open_sansregular" w:cs="Arial"/>
          <w:sz w:val="26"/>
          <w:szCs w:val="26"/>
          <w:lang w:val="en"/>
        </w:rPr>
        <w:t>The Quartet stressed the growing urgency of taking affirmative steps to reverse these trends in order to prevent entrenching a one-state reality of perpetual occupation and conflict that is incompatible with realizing the national aspirations of both peoples.</w:t>
      </w:r>
    </w:p>
    <w:p w:rsidR="000E488C" w:rsidRPr="000E488C" w:rsidRDefault="000E488C" w:rsidP="000E488C">
      <w:pPr>
        <w:shd w:val="clear" w:color="auto" w:fill="FFFFFF"/>
        <w:spacing w:after="150" w:line="240" w:lineRule="auto"/>
        <w:rPr>
          <w:rFonts w:ascii="open_sansregular" w:eastAsia="Times New Roman" w:hAnsi="open_sansregular" w:cs="Arial"/>
          <w:sz w:val="26"/>
          <w:szCs w:val="26"/>
          <w:lang w:val="en"/>
        </w:rPr>
      </w:pPr>
      <w:r w:rsidRPr="000E488C">
        <w:rPr>
          <w:rFonts w:ascii="open_sansregular" w:eastAsia="Times New Roman" w:hAnsi="open_sansregular" w:cs="Arial"/>
          <w:sz w:val="26"/>
          <w:szCs w:val="26"/>
          <w:lang w:val="en"/>
        </w:rPr>
        <w:lastRenderedPageBreak/>
        <w:t>The Quartet acknowledged certain practical steps and agreements by Israel and the Palestinian Authority that could improve conditions for the Palestinian people, while stressing the importance of full and timely implementation. The Quartet also noted the importance of a political horizon and reiterated its call for significant policy shifts consistent with the transition to greater Palestinian civil authority contemplated by prior agreements and called for in the Quartet Report.</w:t>
      </w:r>
    </w:p>
    <w:p w:rsidR="000E488C" w:rsidRPr="000E488C" w:rsidRDefault="000E488C" w:rsidP="000E488C">
      <w:pPr>
        <w:shd w:val="clear" w:color="auto" w:fill="FFFFFF"/>
        <w:spacing w:after="150" w:line="240" w:lineRule="auto"/>
        <w:rPr>
          <w:rFonts w:ascii="open_sansregular" w:eastAsia="Times New Roman" w:hAnsi="open_sansregular" w:cs="Arial"/>
          <w:sz w:val="26"/>
          <w:szCs w:val="26"/>
          <w:lang w:val="en"/>
        </w:rPr>
      </w:pPr>
      <w:r w:rsidRPr="000E488C">
        <w:rPr>
          <w:rFonts w:ascii="open_sansregular" w:eastAsia="Times New Roman" w:hAnsi="open_sansregular" w:cs="Arial"/>
          <w:sz w:val="26"/>
          <w:szCs w:val="26"/>
          <w:lang w:val="en"/>
        </w:rPr>
        <w:t>The Quartet underlined its commitment to achieving a negotiated, comprehensive, just and enduring resolution of the Palestinian-Israeli conflict on the basis of United Nations Security Council resolutions 242 (1967) and 338 (1973). </w:t>
      </w:r>
    </w:p>
    <w:p w:rsidR="000E488C" w:rsidRPr="000E488C" w:rsidRDefault="000E488C" w:rsidP="000E488C">
      <w:pPr>
        <w:shd w:val="clear" w:color="auto" w:fill="FFFFFF"/>
        <w:spacing w:after="150" w:line="240" w:lineRule="auto"/>
        <w:rPr>
          <w:rFonts w:ascii="open_sansregular" w:eastAsia="Times New Roman" w:hAnsi="open_sansregular" w:cs="Arial"/>
          <w:sz w:val="26"/>
          <w:szCs w:val="26"/>
          <w:lang w:val="en"/>
        </w:rPr>
      </w:pPr>
      <w:r w:rsidRPr="000E488C">
        <w:rPr>
          <w:rFonts w:ascii="open_sansregular" w:eastAsia="Times New Roman" w:hAnsi="open_sansregular" w:cs="Arial"/>
          <w:sz w:val="26"/>
          <w:szCs w:val="26"/>
          <w:lang w:val="en"/>
        </w:rPr>
        <w:t>The Quartet expressed appreciation for the efforts of the United Nations Special Coordinator.  It directed the Quartet Envoys to continue engaging with the parties and key stakeholders and to keep the Principals apprised on implementation of the Report’s recommendations.    </w:t>
      </w:r>
    </w:p>
    <w:p w:rsidR="00DF6705" w:rsidRPr="000E488C" w:rsidRDefault="00DF6705"/>
    <w:sectPr w:rsidR="00DF6705" w:rsidRPr="000E48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roid_serifregular">
    <w:altName w:val="Times New Roman"/>
    <w:charset w:val="00"/>
    <w:family w:val="auto"/>
    <w:pitch w:val="default"/>
  </w:font>
  <w:font w:name="droid_serifbold">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open_sansregular">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EE1779"/>
    <w:multiLevelType w:val="multilevel"/>
    <w:tmpl w:val="74069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88C"/>
    <w:rsid w:val="000E488C"/>
    <w:rsid w:val="002B2964"/>
    <w:rsid w:val="00AF484A"/>
    <w:rsid w:val="00CB5F9D"/>
    <w:rsid w:val="00DF6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AE6DBE-A662-4DA0-9244-FC70EC05D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E488C"/>
    <w:pPr>
      <w:spacing w:before="300" w:after="150" w:line="240" w:lineRule="auto"/>
      <w:outlineLvl w:val="0"/>
    </w:pPr>
    <w:rPr>
      <w:rFonts w:ascii="droid_serifregular" w:eastAsia="Times New Roman" w:hAnsi="droid_serifregular" w:cs="Times New Roman"/>
      <w:color w:val="113355"/>
      <w:kern w:val="36"/>
      <w:sz w:val="54"/>
      <w:szCs w:val="5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488C"/>
    <w:rPr>
      <w:rFonts w:ascii="droid_serifregular" w:eastAsia="Times New Roman" w:hAnsi="droid_serifregular" w:cs="Times New Roman"/>
      <w:color w:val="113355"/>
      <w:kern w:val="36"/>
      <w:sz w:val="54"/>
      <w:szCs w:val="54"/>
    </w:rPr>
  </w:style>
  <w:style w:type="paragraph" w:styleId="NormalWeb">
    <w:name w:val="Normal (Web)"/>
    <w:basedOn w:val="Normal"/>
    <w:uiPriority w:val="99"/>
    <w:semiHidden/>
    <w:unhideWhenUsed/>
    <w:rsid w:val="000E488C"/>
    <w:pPr>
      <w:spacing w:after="150" w:line="240" w:lineRule="auto"/>
    </w:pPr>
    <w:rPr>
      <w:rFonts w:ascii="Times New Roman" w:eastAsia="Times New Roman" w:hAnsi="Times New Roman" w:cs="Times New Roman"/>
      <w:sz w:val="24"/>
      <w:szCs w:val="24"/>
    </w:rPr>
  </w:style>
  <w:style w:type="character" w:customStyle="1" w:styleId="field-content2">
    <w:name w:val="field-content2"/>
    <w:basedOn w:val="DefaultParagraphFont"/>
    <w:rsid w:val="000E48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0797656">
      <w:bodyDiv w:val="1"/>
      <w:marLeft w:val="0"/>
      <w:marRight w:val="0"/>
      <w:marTop w:val="0"/>
      <w:marBottom w:val="0"/>
      <w:divBdr>
        <w:top w:val="none" w:sz="0" w:space="0" w:color="auto"/>
        <w:left w:val="none" w:sz="0" w:space="0" w:color="auto"/>
        <w:bottom w:val="none" w:sz="0" w:space="0" w:color="auto"/>
        <w:right w:val="none" w:sz="0" w:space="0" w:color="auto"/>
      </w:divBdr>
      <w:divsChild>
        <w:div w:id="2089687337">
          <w:marLeft w:val="0"/>
          <w:marRight w:val="0"/>
          <w:marTop w:val="0"/>
          <w:marBottom w:val="0"/>
          <w:divBdr>
            <w:top w:val="none" w:sz="0" w:space="0" w:color="auto"/>
            <w:left w:val="none" w:sz="0" w:space="0" w:color="auto"/>
            <w:bottom w:val="none" w:sz="0" w:space="0" w:color="auto"/>
            <w:right w:val="none" w:sz="0" w:space="0" w:color="auto"/>
          </w:divBdr>
          <w:divsChild>
            <w:div w:id="731929062">
              <w:marLeft w:val="0"/>
              <w:marRight w:val="0"/>
              <w:marTop w:val="0"/>
              <w:marBottom w:val="0"/>
              <w:divBdr>
                <w:top w:val="none" w:sz="0" w:space="0" w:color="auto"/>
                <w:left w:val="none" w:sz="0" w:space="0" w:color="auto"/>
                <w:bottom w:val="none" w:sz="0" w:space="0" w:color="auto"/>
                <w:right w:val="none" w:sz="0" w:space="0" w:color="auto"/>
              </w:divBdr>
              <w:divsChild>
                <w:div w:id="1214197174">
                  <w:marLeft w:val="0"/>
                  <w:marRight w:val="0"/>
                  <w:marTop w:val="0"/>
                  <w:marBottom w:val="0"/>
                  <w:divBdr>
                    <w:top w:val="none" w:sz="0" w:space="0" w:color="auto"/>
                    <w:left w:val="none" w:sz="0" w:space="0" w:color="auto"/>
                    <w:bottom w:val="none" w:sz="0" w:space="0" w:color="auto"/>
                    <w:right w:val="none" w:sz="0" w:space="0" w:color="auto"/>
                  </w:divBdr>
                  <w:divsChild>
                    <w:div w:id="1177496968">
                      <w:marLeft w:val="0"/>
                      <w:marRight w:val="0"/>
                      <w:marTop w:val="0"/>
                      <w:marBottom w:val="0"/>
                      <w:divBdr>
                        <w:top w:val="none" w:sz="0" w:space="0" w:color="auto"/>
                        <w:left w:val="none" w:sz="0" w:space="0" w:color="auto"/>
                        <w:bottom w:val="none" w:sz="0" w:space="0" w:color="auto"/>
                        <w:right w:val="none" w:sz="0" w:space="0" w:color="auto"/>
                      </w:divBdr>
                      <w:divsChild>
                        <w:div w:id="583221644">
                          <w:marLeft w:val="0"/>
                          <w:marRight w:val="0"/>
                          <w:marTop w:val="0"/>
                          <w:marBottom w:val="0"/>
                          <w:divBdr>
                            <w:top w:val="none" w:sz="0" w:space="0" w:color="auto"/>
                            <w:left w:val="none" w:sz="0" w:space="0" w:color="auto"/>
                            <w:bottom w:val="none" w:sz="0" w:space="0" w:color="auto"/>
                            <w:right w:val="none" w:sz="0" w:space="0" w:color="auto"/>
                          </w:divBdr>
                          <w:divsChild>
                            <w:div w:id="1438519431">
                              <w:marLeft w:val="0"/>
                              <w:marRight w:val="0"/>
                              <w:marTop w:val="0"/>
                              <w:marBottom w:val="0"/>
                              <w:divBdr>
                                <w:top w:val="none" w:sz="0" w:space="0" w:color="auto"/>
                                <w:left w:val="none" w:sz="0" w:space="0" w:color="auto"/>
                                <w:bottom w:val="none" w:sz="0" w:space="0" w:color="auto"/>
                                <w:right w:val="none" w:sz="0" w:space="0" w:color="auto"/>
                              </w:divBdr>
                              <w:divsChild>
                                <w:div w:id="428081398">
                                  <w:marLeft w:val="0"/>
                                  <w:marRight w:val="0"/>
                                  <w:marTop w:val="0"/>
                                  <w:marBottom w:val="0"/>
                                  <w:divBdr>
                                    <w:top w:val="none" w:sz="0" w:space="0" w:color="auto"/>
                                    <w:left w:val="none" w:sz="0" w:space="0" w:color="auto"/>
                                    <w:bottom w:val="none" w:sz="0" w:space="0" w:color="auto"/>
                                    <w:right w:val="none" w:sz="0" w:space="0" w:color="auto"/>
                                  </w:divBdr>
                                  <w:divsChild>
                                    <w:div w:id="1583485280">
                                      <w:marLeft w:val="0"/>
                                      <w:marRight w:val="0"/>
                                      <w:marTop w:val="0"/>
                                      <w:marBottom w:val="0"/>
                                      <w:divBdr>
                                        <w:top w:val="none" w:sz="0" w:space="0" w:color="auto"/>
                                        <w:left w:val="none" w:sz="0" w:space="0" w:color="auto"/>
                                        <w:bottom w:val="none" w:sz="0" w:space="0" w:color="auto"/>
                                        <w:right w:val="none" w:sz="0" w:space="0" w:color="auto"/>
                                      </w:divBdr>
                                      <w:divsChild>
                                        <w:div w:id="1907301309">
                                          <w:marLeft w:val="0"/>
                                          <w:marRight w:val="0"/>
                                          <w:marTop w:val="0"/>
                                          <w:marBottom w:val="0"/>
                                          <w:divBdr>
                                            <w:top w:val="none" w:sz="0" w:space="0" w:color="auto"/>
                                            <w:left w:val="none" w:sz="0" w:space="0" w:color="auto"/>
                                            <w:bottom w:val="none" w:sz="0" w:space="0" w:color="auto"/>
                                            <w:right w:val="none" w:sz="0" w:space="0" w:color="auto"/>
                                          </w:divBdr>
                                        </w:div>
                                        <w:div w:id="2041003214">
                                          <w:marLeft w:val="0"/>
                                          <w:marRight w:val="0"/>
                                          <w:marTop w:val="0"/>
                                          <w:marBottom w:val="0"/>
                                          <w:divBdr>
                                            <w:top w:val="none" w:sz="0" w:space="0" w:color="auto"/>
                                            <w:left w:val="none" w:sz="0" w:space="0" w:color="auto"/>
                                            <w:bottom w:val="none" w:sz="0" w:space="0" w:color="auto"/>
                                            <w:right w:val="none" w:sz="0" w:space="0" w:color="auto"/>
                                          </w:divBdr>
                                          <w:divsChild>
                                            <w:div w:id="1264340177">
                                              <w:marLeft w:val="0"/>
                                              <w:marRight w:val="0"/>
                                              <w:marTop w:val="0"/>
                                              <w:marBottom w:val="0"/>
                                              <w:divBdr>
                                                <w:top w:val="none" w:sz="0" w:space="0" w:color="auto"/>
                                                <w:left w:val="none" w:sz="0" w:space="0" w:color="auto"/>
                                                <w:bottom w:val="none" w:sz="0" w:space="0" w:color="auto"/>
                                                <w:right w:val="none" w:sz="0" w:space="0" w:color="auto"/>
                                              </w:divBdr>
                                              <w:divsChild>
                                                <w:div w:id="1604456988">
                                                  <w:marLeft w:val="0"/>
                                                  <w:marRight w:val="0"/>
                                                  <w:marTop w:val="0"/>
                                                  <w:marBottom w:val="0"/>
                                                  <w:divBdr>
                                                    <w:top w:val="none" w:sz="0" w:space="0" w:color="auto"/>
                                                    <w:left w:val="none" w:sz="0" w:space="0" w:color="auto"/>
                                                    <w:bottom w:val="none" w:sz="0" w:space="0" w:color="auto"/>
                                                    <w:right w:val="none" w:sz="0" w:space="0" w:color="auto"/>
                                                  </w:divBdr>
                                                  <w:divsChild>
                                                    <w:div w:id="73566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397492">
                                          <w:marLeft w:val="0"/>
                                          <w:marRight w:val="0"/>
                                          <w:marTop w:val="0"/>
                                          <w:marBottom w:val="0"/>
                                          <w:divBdr>
                                            <w:top w:val="none" w:sz="0" w:space="0" w:color="auto"/>
                                            <w:left w:val="none" w:sz="0" w:space="0" w:color="auto"/>
                                            <w:bottom w:val="none" w:sz="0" w:space="0" w:color="auto"/>
                                            <w:right w:val="none" w:sz="0" w:space="0" w:color="auto"/>
                                          </w:divBdr>
                                          <w:divsChild>
                                            <w:div w:id="99807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1543615">
          <w:marLeft w:val="0"/>
          <w:marRight w:val="0"/>
          <w:marTop w:val="0"/>
          <w:marBottom w:val="0"/>
          <w:divBdr>
            <w:top w:val="none" w:sz="0" w:space="0" w:color="auto"/>
            <w:left w:val="none" w:sz="0" w:space="0" w:color="auto"/>
            <w:bottom w:val="none" w:sz="0" w:space="0" w:color="auto"/>
            <w:right w:val="none" w:sz="0" w:space="0" w:color="auto"/>
          </w:divBdr>
          <w:divsChild>
            <w:div w:id="1935238658">
              <w:marLeft w:val="-225"/>
              <w:marRight w:val="-225"/>
              <w:marTop w:val="0"/>
              <w:marBottom w:val="0"/>
              <w:divBdr>
                <w:top w:val="none" w:sz="0" w:space="0" w:color="auto"/>
                <w:left w:val="none" w:sz="0" w:space="0" w:color="auto"/>
                <w:bottom w:val="none" w:sz="0" w:space="0" w:color="auto"/>
                <w:right w:val="none" w:sz="0" w:space="0" w:color="auto"/>
              </w:divBdr>
              <w:divsChild>
                <w:div w:id="1790707752">
                  <w:marLeft w:val="0"/>
                  <w:marRight w:val="0"/>
                  <w:marTop w:val="0"/>
                  <w:marBottom w:val="0"/>
                  <w:divBdr>
                    <w:top w:val="none" w:sz="0" w:space="0" w:color="auto"/>
                    <w:left w:val="none" w:sz="0" w:space="0" w:color="auto"/>
                    <w:bottom w:val="none" w:sz="0" w:space="0" w:color="auto"/>
                    <w:right w:val="none" w:sz="0" w:space="0" w:color="auto"/>
                  </w:divBdr>
                  <w:divsChild>
                    <w:div w:id="2098332174">
                      <w:marLeft w:val="-225"/>
                      <w:marRight w:val="-225"/>
                      <w:marTop w:val="0"/>
                      <w:marBottom w:val="0"/>
                      <w:divBdr>
                        <w:top w:val="none" w:sz="0" w:space="0" w:color="auto"/>
                        <w:left w:val="none" w:sz="0" w:space="0" w:color="auto"/>
                        <w:bottom w:val="none" w:sz="0" w:space="0" w:color="auto"/>
                        <w:right w:val="none" w:sz="0" w:space="0" w:color="auto"/>
                      </w:divBdr>
                      <w:divsChild>
                        <w:div w:id="1257397288">
                          <w:marLeft w:val="0"/>
                          <w:marRight w:val="0"/>
                          <w:marTop w:val="0"/>
                          <w:marBottom w:val="0"/>
                          <w:divBdr>
                            <w:top w:val="none" w:sz="0" w:space="0" w:color="auto"/>
                            <w:left w:val="none" w:sz="0" w:space="0" w:color="auto"/>
                            <w:bottom w:val="none" w:sz="0" w:space="0" w:color="auto"/>
                            <w:right w:val="none" w:sz="0" w:space="0" w:color="auto"/>
                          </w:divBdr>
                          <w:divsChild>
                            <w:div w:id="500706803">
                              <w:marLeft w:val="0"/>
                              <w:marRight w:val="0"/>
                              <w:marTop w:val="0"/>
                              <w:marBottom w:val="0"/>
                              <w:divBdr>
                                <w:top w:val="none" w:sz="0" w:space="0" w:color="auto"/>
                                <w:left w:val="none" w:sz="0" w:space="0" w:color="auto"/>
                                <w:bottom w:val="none" w:sz="0" w:space="0" w:color="auto"/>
                                <w:right w:val="none" w:sz="0" w:space="0" w:color="auto"/>
                              </w:divBdr>
                              <w:divsChild>
                                <w:div w:id="1014498131">
                                  <w:marLeft w:val="0"/>
                                  <w:marRight w:val="0"/>
                                  <w:marTop w:val="0"/>
                                  <w:marBottom w:val="0"/>
                                  <w:divBdr>
                                    <w:top w:val="none" w:sz="0" w:space="0" w:color="auto"/>
                                    <w:left w:val="none" w:sz="0" w:space="0" w:color="auto"/>
                                    <w:bottom w:val="none" w:sz="0" w:space="0" w:color="auto"/>
                                    <w:right w:val="none" w:sz="0" w:space="0" w:color="auto"/>
                                  </w:divBdr>
                                  <w:divsChild>
                                    <w:div w:id="1502505743">
                                      <w:marLeft w:val="0"/>
                                      <w:marRight w:val="0"/>
                                      <w:marTop w:val="0"/>
                                      <w:marBottom w:val="0"/>
                                      <w:divBdr>
                                        <w:top w:val="none" w:sz="0" w:space="0" w:color="auto"/>
                                        <w:left w:val="none" w:sz="0" w:space="0" w:color="auto"/>
                                        <w:bottom w:val="none" w:sz="0" w:space="0" w:color="auto"/>
                                        <w:right w:val="none" w:sz="0" w:space="0" w:color="auto"/>
                                      </w:divBdr>
                                      <w:divsChild>
                                        <w:div w:id="1166554939">
                                          <w:marLeft w:val="0"/>
                                          <w:marRight w:val="0"/>
                                          <w:marTop w:val="0"/>
                                          <w:marBottom w:val="0"/>
                                          <w:divBdr>
                                            <w:top w:val="none" w:sz="0" w:space="0" w:color="auto"/>
                                            <w:left w:val="none" w:sz="0" w:space="0" w:color="auto"/>
                                            <w:bottom w:val="none" w:sz="0" w:space="0" w:color="auto"/>
                                            <w:right w:val="none" w:sz="0" w:space="0" w:color="auto"/>
                                          </w:divBdr>
                                          <w:divsChild>
                                            <w:div w:id="1859855257">
                                              <w:marLeft w:val="0"/>
                                              <w:marRight w:val="0"/>
                                              <w:marTop w:val="0"/>
                                              <w:marBottom w:val="0"/>
                                              <w:divBdr>
                                                <w:top w:val="none" w:sz="0" w:space="0" w:color="auto"/>
                                                <w:left w:val="none" w:sz="0" w:space="0" w:color="auto"/>
                                                <w:bottom w:val="none" w:sz="0" w:space="0" w:color="auto"/>
                                                <w:right w:val="none" w:sz="0" w:space="0" w:color="auto"/>
                                              </w:divBdr>
                                              <w:divsChild>
                                                <w:div w:id="2060472645">
                                                  <w:marLeft w:val="0"/>
                                                  <w:marRight w:val="0"/>
                                                  <w:marTop w:val="0"/>
                                                  <w:marBottom w:val="0"/>
                                                  <w:divBdr>
                                                    <w:top w:val="none" w:sz="0" w:space="0" w:color="auto"/>
                                                    <w:left w:val="none" w:sz="0" w:space="0" w:color="auto"/>
                                                    <w:bottom w:val="none" w:sz="0" w:space="0" w:color="auto"/>
                                                    <w:right w:val="none" w:sz="0" w:space="0" w:color="auto"/>
                                                  </w:divBdr>
                                                  <w:divsChild>
                                                    <w:div w:id="929043320">
                                                      <w:marLeft w:val="0"/>
                                                      <w:marRight w:val="0"/>
                                                      <w:marTop w:val="0"/>
                                                      <w:marBottom w:val="0"/>
                                                      <w:divBdr>
                                                        <w:top w:val="none" w:sz="0" w:space="0" w:color="auto"/>
                                                        <w:left w:val="none" w:sz="0" w:space="0" w:color="auto"/>
                                                        <w:bottom w:val="none" w:sz="0" w:space="0" w:color="auto"/>
                                                        <w:right w:val="none" w:sz="0" w:space="0" w:color="auto"/>
                                                      </w:divBdr>
                                                      <w:divsChild>
                                                        <w:div w:id="100362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4</cp:revision>
  <dcterms:created xsi:type="dcterms:W3CDTF">2016-09-23T19:41:00Z</dcterms:created>
  <dcterms:modified xsi:type="dcterms:W3CDTF">2016-09-27T19:39:00Z</dcterms:modified>
</cp:coreProperties>
</file>