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68542" w14:textId="77777777" w:rsidR="00053AE5" w:rsidRPr="00053AE5" w:rsidRDefault="00053AE5" w:rsidP="00053AE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053AE5">
        <w:rPr>
          <w:rFonts w:ascii="Times New Roman" w:eastAsia="Times New Roman" w:hAnsi="Times New Roman" w:cs="Times New Roman"/>
          <w:b/>
          <w:bCs/>
          <w:kern w:val="36"/>
          <w:sz w:val="48"/>
          <w:szCs w:val="48"/>
        </w:rPr>
        <w:t>Israel aims new Nakba-style weapon at Arab citizens</w:t>
      </w:r>
    </w:p>
    <w:p w14:paraId="55C2E2E8" w14:textId="77777777" w:rsidR="00053AE5" w:rsidRPr="00053AE5" w:rsidRDefault="00053AE5" w:rsidP="00053AE5">
      <w:pPr>
        <w:spacing w:after="0" w:line="240" w:lineRule="auto"/>
        <w:rPr>
          <w:rFonts w:ascii="Times New Roman" w:eastAsia="Times New Roman" w:hAnsi="Times New Roman" w:cs="Times New Roman"/>
          <w:sz w:val="24"/>
          <w:szCs w:val="24"/>
        </w:rPr>
      </w:pPr>
      <w:r w:rsidRPr="00053AE5">
        <w:rPr>
          <w:rFonts w:ascii="Times New Roman" w:eastAsia="Times New Roman" w:hAnsi="Times New Roman" w:cs="Times New Roman"/>
          <w:sz w:val="24"/>
          <w:szCs w:val="24"/>
        </w:rPr>
        <w:t>May 17, 2017</w:t>
      </w:r>
    </w:p>
    <w:p w14:paraId="3087C562" w14:textId="77777777" w:rsidR="00053AE5" w:rsidRPr="00053AE5" w:rsidRDefault="00053AE5" w:rsidP="00053AE5">
      <w:pPr>
        <w:spacing w:after="0" w:line="240" w:lineRule="auto"/>
        <w:rPr>
          <w:rFonts w:ascii="Times New Roman" w:eastAsia="Times New Roman" w:hAnsi="Times New Roman" w:cs="Times New Roman"/>
          <w:sz w:val="24"/>
          <w:szCs w:val="24"/>
        </w:rPr>
      </w:pPr>
      <w:r w:rsidRPr="00053AE5">
        <w:rPr>
          <w:rFonts w:ascii="Times New Roman" w:eastAsia="Times New Roman" w:hAnsi="Times New Roman" w:cs="Times New Roman"/>
          <w:sz w:val="24"/>
          <w:szCs w:val="24"/>
        </w:rPr>
        <w:t xml:space="preserve">By </w:t>
      </w:r>
      <w:hyperlink r:id="rId4" w:tgtFrame="_blank" w:history="1">
        <w:proofErr w:type="spellStart"/>
        <w:r w:rsidRPr="00053AE5">
          <w:rPr>
            <w:rFonts w:ascii="Times New Roman" w:eastAsia="Times New Roman" w:hAnsi="Times New Roman" w:cs="Times New Roman"/>
            <w:sz w:val="24"/>
            <w:szCs w:val="24"/>
            <w:u w:val="single"/>
          </w:rPr>
          <w:t>Myssana</w:t>
        </w:r>
        <w:proofErr w:type="spellEnd"/>
        <w:r w:rsidRPr="00053AE5">
          <w:rPr>
            <w:rFonts w:ascii="Times New Roman" w:eastAsia="Times New Roman" w:hAnsi="Times New Roman" w:cs="Times New Roman"/>
            <w:sz w:val="24"/>
            <w:szCs w:val="24"/>
            <w:u w:val="single"/>
          </w:rPr>
          <w:t xml:space="preserve"> </w:t>
        </w:r>
        <w:proofErr w:type="spellStart"/>
        <w:r w:rsidRPr="00053AE5">
          <w:rPr>
            <w:rFonts w:ascii="Times New Roman" w:eastAsia="Times New Roman" w:hAnsi="Times New Roman" w:cs="Times New Roman"/>
            <w:sz w:val="24"/>
            <w:szCs w:val="24"/>
            <w:u w:val="single"/>
          </w:rPr>
          <w:t>Morany</w:t>
        </w:r>
        <w:proofErr w:type="spellEnd"/>
      </w:hyperlink>
    </w:p>
    <w:p w14:paraId="63AC180B" w14:textId="77777777" w:rsidR="00053AE5" w:rsidRPr="00053AE5" w:rsidRDefault="00053AE5" w:rsidP="00053AE5">
      <w:pPr>
        <w:spacing w:after="0" w:line="240" w:lineRule="auto"/>
        <w:rPr>
          <w:rFonts w:ascii="Times New Roman" w:eastAsia="Times New Roman" w:hAnsi="Times New Roman" w:cs="Times New Roman"/>
          <w:sz w:val="24"/>
          <w:szCs w:val="24"/>
        </w:rPr>
      </w:pPr>
      <w:r w:rsidRPr="00053AE5">
        <w:rPr>
          <w:rFonts w:ascii="Times New Roman" w:eastAsia="Times New Roman" w:hAnsi="Times New Roman" w:cs="Times New Roman"/>
          <w:sz w:val="24"/>
          <w:szCs w:val="24"/>
        </w:rPr>
        <w:t>The Nakba Files</w:t>
      </w:r>
    </w:p>
    <w:p w14:paraId="5C2336DC" w14:textId="77777777" w:rsidR="00053AE5" w:rsidRPr="00053AE5" w:rsidRDefault="00053AE5" w:rsidP="00053AE5">
      <w:pPr>
        <w:spacing w:after="0" w:line="240" w:lineRule="auto"/>
        <w:rPr>
          <w:rFonts w:ascii="Times New Roman" w:eastAsia="Times New Roman" w:hAnsi="Times New Roman" w:cs="Times New Roman"/>
          <w:sz w:val="24"/>
          <w:szCs w:val="24"/>
        </w:rPr>
      </w:pPr>
      <w:r w:rsidRPr="00053AE5">
        <w:rPr>
          <w:rFonts w:ascii="Times New Roman" w:eastAsia="Times New Roman" w:hAnsi="Times New Roman" w:cs="Times New Roman"/>
          <w:sz w:val="24"/>
          <w:szCs w:val="24"/>
        </w:rPr>
        <w:t>http://nakbafiles.org/2017/05/17/israel-aims-new-nakba-style-weapon-at-arab-citizens/</w:t>
      </w:r>
    </w:p>
    <w:p w14:paraId="4DFC8018" w14:textId="77777777" w:rsidR="00053AE5" w:rsidRPr="00053AE5" w:rsidRDefault="00053AE5" w:rsidP="00053AE5">
      <w:pPr>
        <w:spacing w:before="100" w:beforeAutospacing="1" w:after="100" w:afterAutospacing="1" w:line="240" w:lineRule="auto"/>
        <w:rPr>
          <w:rFonts w:ascii="Times New Roman" w:eastAsia="Times New Roman" w:hAnsi="Times New Roman" w:cs="Times New Roman"/>
          <w:sz w:val="24"/>
          <w:szCs w:val="24"/>
        </w:rPr>
      </w:pPr>
      <w:r w:rsidRPr="00053AE5">
        <w:rPr>
          <w:rFonts w:ascii="Times New Roman" w:eastAsia="Times New Roman" w:hAnsi="Times New Roman" w:cs="Times New Roman"/>
          <w:sz w:val="24"/>
          <w:szCs w:val="24"/>
        </w:rPr>
        <w:t>What Jewish Israelis call their War of Independence, Palestinians refer to as the Nakba, or “catastrophe” in Arabic. During the 1948 war and its aftermath, Israel depopulated and destroyed 600 Palestinian villages and expelled more than 700,000 Palestinians from the newly-established state in order to open up their land for Jewish settlement.</w:t>
      </w:r>
    </w:p>
    <w:p w14:paraId="6ACB0151" w14:textId="77777777" w:rsidR="00053AE5" w:rsidRPr="00053AE5" w:rsidRDefault="00053AE5" w:rsidP="00053AE5">
      <w:pPr>
        <w:spacing w:before="100" w:beforeAutospacing="1" w:after="100" w:afterAutospacing="1" w:line="240" w:lineRule="auto"/>
        <w:rPr>
          <w:rFonts w:ascii="Times New Roman" w:eastAsia="Times New Roman" w:hAnsi="Times New Roman" w:cs="Times New Roman"/>
          <w:sz w:val="24"/>
          <w:szCs w:val="24"/>
        </w:rPr>
      </w:pPr>
      <w:r w:rsidRPr="00053AE5">
        <w:rPr>
          <w:rFonts w:ascii="Times New Roman" w:eastAsia="Times New Roman" w:hAnsi="Times New Roman" w:cs="Times New Roman"/>
          <w:sz w:val="24"/>
          <w:szCs w:val="24"/>
        </w:rPr>
        <w:t>But the Israeli campaign to control land has never stopped. As Israel celebrates the 69th anniversary of its establishment — Palestinians commemorate the Nakba annually on May 15 — it is also brandishing its latest weapon against its remaining Arab citizens, designed to corral them into an ever-shrinking living space.</w:t>
      </w:r>
    </w:p>
    <w:p w14:paraId="08FE7026" w14:textId="77777777" w:rsidR="00053AE5" w:rsidRPr="00053AE5" w:rsidRDefault="00053AE5" w:rsidP="00053AE5">
      <w:pPr>
        <w:spacing w:before="100" w:beforeAutospacing="1" w:after="100" w:afterAutospacing="1" w:line="240" w:lineRule="auto"/>
        <w:rPr>
          <w:rFonts w:ascii="Times New Roman" w:eastAsia="Times New Roman" w:hAnsi="Times New Roman" w:cs="Times New Roman"/>
          <w:sz w:val="24"/>
          <w:szCs w:val="24"/>
        </w:rPr>
      </w:pPr>
      <w:r w:rsidRPr="00053AE5">
        <w:rPr>
          <w:rFonts w:ascii="Times New Roman" w:eastAsia="Times New Roman" w:hAnsi="Times New Roman" w:cs="Times New Roman"/>
          <w:sz w:val="24"/>
          <w:szCs w:val="24"/>
        </w:rPr>
        <w:t xml:space="preserve">According to Israel, the new so-called </w:t>
      </w:r>
      <w:hyperlink r:id="rId5" w:tgtFrame="_blank" w:history="1">
        <w:proofErr w:type="spellStart"/>
        <w:r w:rsidRPr="00053AE5">
          <w:rPr>
            <w:rFonts w:ascii="Times New Roman" w:eastAsia="Times New Roman" w:hAnsi="Times New Roman" w:cs="Times New Roman"/>
            <w:sz w:val="24"/>
            <w:szCs w:val="24"/>
            <w:u w:val="single"/>
          </w:rPr>
          <w:t>Kaminitz</w:t>
        </w:r>
        <w:proofErr w:type="spellEnd"/>
        <w:r w:rsidRPr="00053AE5">
          <w:rPr>
            <w:rFonts w:ascii="Times New Roman" w:eastAsia="Times New Roman" w:hAnsi="Times New Roman" w:cs="Times New Roman"/>
            <w:sz w:val="24"/>
            <w:szCs w:val="24"/>
            <w:u w:val="single"/>
          </w:rPr>
          <w:t xml:space="preserve"> Law</w:t>
        </w:r>
      </w:hyperlink>
      <w:r w:rsidRPr="00053AE5">
        <w:rPr>
          <w:rFonts w:ascii="Times New Roman" w:eastAsia="Times New Roman" w:hAnsi="Times New Roman" w:cs="Times New Roman"/>
          <w:sz w:val="24"/>
          <w:szCs w:val="24"/>
        </w:rPr>
        <w:t xml:space="preserve">, which was enacted in April 2017, is intended to consolidate and streamline state powers in enforcing planning and building regulations. But in practice, this law allows the Israeli government to carry out a new wave of mass </w:t>
      </w:r>
      <w:hyperlink r:id="rId6" w:tgtFrame="_blank" w:history="1">
        <w:r w:rsidRPr="00053AE5">
          <w:rPr>
            <w:rFonts w:ascii="Times New Roman" w:eastAsia="Times New Roman" w:hAnsi="Times New Roman" w:cs="Times New Roman"/>
            <w:sz w:val="24"/>
            <w:szCs w:val="24"/>
            <w:u w:val="single"/>
          </w:rPr>
          <w:t>home demolitions</w:t>
        </w:r>
      </w:hyperlink>
      <w:r w:rsidRPr="00053AE5">
        <w:rPr>
          <w:rFonts w:ascii="Times New Roman" w:eastAsia="Times New Roman" w:hAnsi="Times New Roman" w:cs="Times New Roman"/>
          <w:sz w:val="24"/>
          <w:szCs w:val="24"/>
        </w:rPr>
        <w:t xml:space="preserve"> in hemmed-in Arab villages and towns already hard hit by severe housing shortages and a history of discriminatory state policies. According to </w:t>
      </w:r>
      <w:hyperlink r:id="rId7" w:tgtFrame="_blank" w:history="1">
        <w:r w:rsidRPr="00053AE5">
          <w:rPr>
            <w:rFonts w:ascii="Times New Roman" w:eastAsia="Times New Roman" w:hAnsi="Times New Roman" w:cs="Times New Roman"/>
            <w:sz w:val="24"/>
            <w:szCs w:val="24"/>
            <w:u w:val="single"/>
          </w:rPr>
          <w:t>official state statistics</w:t>
        </w:r>
      </w:hyperlink>
      <w:r w:rsidRPr="00053AE5">
        <w:rPr>
          <w:rFonts w:ascii="Times New Roman" w:eastAsia="Times New Roman" w:hAnsi="Times New Roman" w:cs="Times New Roman"/>
          <w:sz w:val="24"/>
          <w:szCs w:val="24"/>
        </w:rPr>
        <w:t>, 97 percent of the demolition orders issued between 2012 and 2014 were against homes in Arab communities in Israel.</w:t>
      </w:r>
    </w:p>
    <w:p w14:paraId="24210EB0" w14:textId="77777777" w:rsidR="00053AE5" w:rsidRPr="00053AE5" w:rsidRDefault="00053AE5" w:rsidP="00053AE5">
      <w:pPr>
        <w:spacing w:before="100" w:beforeAutospacing="1" w:after="100" w:afterAutospacing="1" w:line="240" w:lineRule="auto"/>
        <w:rPr>
          <w:rFonts w:ascii="Times New Roman" w:eastAsia="Times New Roman" w:hAnsi="Times New Roman" w:cs="Times New Roman"/>
          <w:sz w:val="24"/>
          <w:szCs w:val="24"/>
        </w:rPr>
      </w:pPr>
      <w:r w:rsidRPr="00053AE5">
        <w:rPr>
          <w:rFonts w:ascii="Times New Roman" w:eastAsia="Times New Roman" w:hAnsi="Times New Roman" w:cs="Times New Roman"/>
          <w:sz w:val="24"/>
          <w:szCs w:val="24"/>
        </w:rPr>
        <w:t xml:space="preserve">Israeli policy is driven by the rationale that the implementation of planning and building regulations in Arab towns can and should be achieved only through a harsh policy of </w:t>
      </w:r>
      <w:hyperlink r:id="rId8" w:tgtFrame="_blank" w:history="1">
        <w:r w:rsidRPr="00053AE5">
          <w:rPr>
            <w:rFonts w:ascii="Times New Roman" w:eastAsia="Times New Roman" w:hAnsi="Times New Roman" w:cs="Times New Roman"/>
            <w:sz w:val="24"/>
            <w:szCs w:val="24"/>
            <w:u w:val="single"/>
          </w:rPr>
          <w:t>mass home demolitions</w:t>
        </w:r>
      </w:hyperlink>
      <w:r w:rsidRPr="00053AE5">
        <w:rPr>
          <w:rFonts w:ascii="Times New Roman" w:eastAsia="Times New Roman" w:hAnsi="Times New Roman" w:cs="Times New Roman"/>
          <w:sz w:val="24"/>
          <w:szCs w:val="24"/>
        </w:rPr>
        <w:t xml:space="preserve"> and other punitive measures against home and land owners. Those punished under the new law can be imprisoned for up to three years, and could accumulate fines reaching hundreds of thousands of Israeli shekels.</w:t>
      </w:r>
    </w:p>
    <w:p w14:paraId="233D4836" w14:textId="77777777" w:rsidR="00053AE5" w:rsidRPr="00053AE5" w:rsidRDefault="00053AE5" w:rsidP="00053AE5">
      <w:pPr>
        <w:spacing w:before="100" w:beforeAutospacing="1" w:after="100" w:afterAutospacing="1" w:line="240" w:lineRule="auto"/>
        <w:rPr>
          <w:rFonts w:ascii="Times New Roman" w:eastAsia="Times New Roman" w:hAnsi="Times New Roman" w:cs="Times New Roman"/>
          <w:sz w:val="24"/>
          <w:szCs w:val="24"/>
        </w:rPr>
      </w:pPr>
      <w:r w:rsidRPr="00053AE5">
        <w:rPr>
          <w:rFonts w:ascii="Times New Roman" w:eastAsia="Times New Roman" w:hAnsi="Times New Roman" w:cs="Times New Roman"/>
          <w:sz w:val="24"/>
          <w:szCs w:val="24"/>
        </w:rPr>
        <w:t xml:space="preserve">The </w:t>
      </w:r>
      <w:proofErr w:type="spellStart"/>
      <w:r w:rsidRPr="00053AE5">
        <w:rPr>
          <w:rFonts w:ascii="Times New Roman" w:eastAsia="Times New Roman" w:hAnsi="Times New Roman" w:cs="Times New Roman"/>
          <w:sz w:val="24"/>
          <w:szCs w:val="24"/>
        </w:rPr>
        <w:t>Kaminitz</w:t>
      </w:r>
      <w:proofErr w:type="spellEnd"/>
      <w:r w:rsidRPr="00053AE5">
        <w:rPr>
          <w:rFonts w:ascii="Times New Roman" w:eastAsia="Times New Roman" w:hAnsi="Times New Roman" w:cs="Times New Roman"/>
          <w:sz w:val="24"/>
          <w:szCs w:val="24"/>
        </w:rPr>
        <w:t xml:space="preserve"> Law intends to make “building violations” simply disappear, while completely ignoring the conditions that created the phenomenon of unauthorized construction in Arab towns and villages in the first place, and absolving the state of all responsibility for this phenomenon.</w:t>
      </w:r>
    </w:p>
    <w:p w14:paraId="01080408" w14:textId="77777777" w:rsidR="00053AE5" w:rsidRPr="00053AE5" w:rsidRDefault="00053AE5" w:rsidP="00053AE5">
      <w:pPr>
        <w:spacing w:before="100" w:beforeAutospacing="1" w:after="100" w:afterAutospacing="1" w:line="240" w:lineRule="auto"/>
        <w:rPr>
          <w:rFonts w:ascii="Times New Roman" w:eastAsia="Times New Roman" w:hAnsi="Times New Roman" w:cs="Times New Roman"/>
          <w:sz w:val="24"/>
          <w:szCs w:val="24"/>
        </w:rPr>
      </w:pPr>
      <w:r w:rsidRPr="00053AE5">
        <w:rPr>
          <w:rFonts w:ascii="Times New Roman" w:eastAsia="Times New Roman" w:hAnsi="Times New Roman" w:cs="Times New Roman"/>
          <w:sz w:val="24"/>
          <w:szCs w:val="24"/>
        </w:rPr>
        <w:t>It also ignores the harrowing human cost of the new law: hundreds of families will be left homeless and without alternative housing solutions.</w:t>
      </w:r>
    </w:p>
    <w:p w14:paraId="2B8F542A" w14:textId="77777777" w:rsidR="00053AE5" w:rsidRPr="00053AE5" w:rsidRDefault="00053AE5" w:rsidP="00053AE5">
      <w:pPr>
        <w:spacing w:before="100" w:beforeAutospacing="1" w:after="100" w:afterAutospacing="1" w:line="240" w:lineRule="auto"/>
        <w:rPr>
          <w:rFonts w:ascii="Times New Roman" w:eastAsia="Times New Roman" w:hAnsi="Times New Roman" w:cs="Times New Roman"/>
          <w:sz w:val="24"/>
          <w:szCs w:val="24"/>
        </w:rPr>
      </w:pPr>
      <w:r w:rsidRPr="00053AE5">
        <w:rPr>
          <w:rFonts w:ascii="Times New Roman" w:eastAsia="Times New Roman" w:hAnsi="Times New Roman" w:cs="Times New Roman"/>
          <w:sz w:val="24"/>
          <w:szCs w:val="24"/>
        </w:rPr>
        <w:t xml:space="preserve">The </w:t>
      </w:r>
      <w:proofErr w:type="spellStart"/>
      <w:r w:rsidRPr="00053AE5">
        <w:rPr>
          <w:rFonts w:ascii="Times New Roman" w:eastAsia="Times New Roman" w:hAnsi="Times New Roman" w:cs="Times New Roman"/>
          <w:sz w:val="24"/>
          <w:szCs w:val="24"/>
        </w:rPr>
        <w:t>Kaminitz</w:t>
      </w:r>
      <w:proofErr w:type="spellEnd"/>
      <w:r w:rsidRPr="00053AE5">
        <w:rPr>
          <w:rFonts w:ascii="Times New Roman" w:eastAsia="Times New Roman" w:hAnsi="Times New Roman" w:cs="Times New Roman"/>
          <w:sz w:val="24"/>
          <w:szCs w:val="24"/>
        </w:rPr>
        <w:t xml:space="preserve"> Law hides behind a cloak of neutrality and the guise of equal and universal implementation of the law across all sectors of the population. However, it will have a disproportionate impact on Arab citizens of Israel, because it intentionally ignores the decades of </w:t>
      </w:r>
      <w:hyperlink r:id="rId9" w:tgtFrame="_blank" w:history="1">
        <w:r w:rsidRPr="00053AE5">
          <w:rPr>
            <w:rFonts w:ascii="Times New Roman" w:eastAsia="Times New Roman" w:hAnsi="Times New Roman" w:cs="Times New Roman"/>
            <w:sz w:val="24"/>
            <w:szCs w:val="24"/>
            <w:u w:val="single"/>
          </w:rPr>
          <w:t>systematic discrimination</w:t>
        </w:r>
      </w:hyperlink>
      <w:r w:rsidRPr="00053AE5">
        <w:rPr>
          <w:rFonts w:ascii="Times New Roman" w:eastAsia="Times New Roman" w:hAnsi="Times New Roman" w:cs="Times New Roman"/>
          <w:sz w:val="24"/>
          <w:szCs w:val="24"/>
        </w:rPr>
        <w:t xml:space="preserve"> that generated the housing crisis in Arab towns and villages across the country, and which resulted in extensive “unauthorized construction.”</w:t>
      </w:r>
    </w:p>
    <w:p w14:paraId="349C9E02" w14:textId="77777777" w:rsidR="00053AE5" w:rsidRPr="00053AE5" w:rsidRDefault="00053AE5" w:rsidP="00053AE5">
      <w:pPr>
        <w:spacing w:before="100" w:beforeAutospacing="1" w:after="100" w:afterAutospacing="1" w:line="240" w:lineRule="auto"/>
        <w:rPr>
          <w:rFonts w:ascii="Times New Roman" w:eastAsia="Times New Roman" w:hAnsi="Times New Roman" w:cs="Times New Roman"/>
          <w:sz w:val="24"/>
          <w:szCs w:val="24"/>
        </w:rPr>
      </w:pPr>
      <w:r w:rsidRPr="00053AE5">
        <w:rPr>
          <w:rFonts w:ascii="Times New Roman" w:eastAsia="Times New Roman" w:hAnsi="Times New Roman" w:cs="Times New Roman"/>
          <w:sz w:val="24"/>
          <w:szCs w:val="24"/>
        </w:rPr>
        <w:lastRenderedPageBreak/>
        <w:t>It is therefore disingenuous to portray “unauthorized construction” in Arab towns simply as a deviation from the desired social norm, as one might any other legal transgression. One cannot view the state’s intent to increase enforcement of planning and building regulations without considering the wider context of Israel’s suppressive historic relationship with the Palestinian Arab minority, and its longstanding efforts to restrict and control the living space available to them.</w:t>
      </w:r>
    </w:p>
    <w:p w14:paraId="77669464" w14:textId="77777777" w:rsidR="00053AE5" w:rsidRPr="00053AE5" w:rsidRDefault="00053AE5" w:rsidP="00053AE5">
      <w:pPr>
        <w:spacing w:before="100" w:beforeAutospacing="1" w:after="100" w:afterAutospacing="1" w:line="240" w:lineRule="auto"/>
        <w:rPr>
          <w:rFonts w:ascii="Times New Roman" w:eastAsia="Times New Roman" w:hAnsi="Times New Roman" w:cs="Times New Roman"/>
          <w:sz w:val="24"/>
          <w:szCs w:val="24"/>
        </w:rPr>
      </w:pPr>
      <w:r w:rsidRPr="00053AE5">
        <w:rPr>
          <w:rFonts w:ascii="Times New Roman" w:eastAsia="Times New Roman" w:hAnsi="Times New Roman" w:cs="Times New Roman"/>
          <w:b/>
          <w:bCs/>
          <w:sz w:val="24"/>
          <w:szCs w:val="24"/>
        </w:rPr>
        <w:t>From 1948 to the present day</w:t>
      </w:r>
    </w:p>
    <w:p w14:paraId="3557CAD6" w14:textId="77777777" w:rsidR="00053AE5" w:rsidRPr="00053AE5" w:rsidRDefault="00053AE5" w:rsidP="00053AE5">
      <w:pPr>
        <w:spacing w:before="100" w:beforeAutospacing="1" w:after="100" w:afterAutospacing="1" w:line="240" w:lineRule="auto"/>
        <w:rPr>
          <w:rFonts w:ascii="Times New Roman" w:eastAsia="Times New Roman" w:hAnsi="Times New Roman" w:cs="Times New Roman"/>
          <w:sz w:val="24"/>
          <w:szCs w:val="24"/>
        </w:rPr>
      </w:pPr>
      <w:r w:rsidRPr="00053AE5">
        <w:rPr>
          <w:rFonts w:ascii="Times New Roman" w:eastAsia="Times New Roman" w:hAnsi="Times New Roman" w:cs="Times New Roman"/>
          <w:sz w:val="24"/>
          <w:szCs w:val="24"/>
        </w:rPr>
        <w:t xml:space="preserve">The most violent and dramatic period of Israel’s land grab was during the Nakba in 1948. Armed Zionist militias, and subsequently the Israeli military, forcefully seized and reconfigured the land. Israel expelled the residents of some 600 Arab towns and confiscated their land, later demolishing these towns entirely. Those Arabs who remained were concentrated in restricted areas of the country — 139 surviving Arab villages and the </w:t>
      </w:r>
      <w:proofErr w:type="spellStart"/>
      <w:r w:rsidRPr="00053AE5">
        <w:rPr>
          <w:rFonts w:ascii="Times New Roman" w:eastAsia="Times New Roman" w:hAnsi="Times New Roman" w:cs="Times New Roman"/>
          <w:i/>
          <w:iCs/>
          <w:sz w:val="24"/>
          <w:szCs w:val="24"/>
        </w:rPr>
        <w:t>Siyagh</w:t>
      </w:r>
      <w:proofErr w:type="spellEnd"/>
      <w:r w:rsidRPr="00053AE5">
        <w:rPr>
          <w:rFonts w:ascii="Times New Roman" w:eastAsia="Times New Roman" w:hAnsi="Times New Roman" w:cs="Times New Roman"/>
          <w:sz w:val="24"/>
          <w:szCs w:val="24"/>
        </w:rPr>
        <w:t xml:space="preserve"> zone in the </w:t>
      </w:r>
      <w:proofErr w:type="spellStart"/>
      <w:r w:rsidRPr="00053AE5">
        <w:rPr>
          <w:rFonts w:ascii="Times New Roman" w:eastAsia="Times New Roman" w:hAnsi="Times New Roman" w:cs="Times New Roman"/>
          <w:sz w:val="24"/>
          <w:szCs w:val="24"/>
        </w:rPr>
        <w:t>Naqab</w:t>
      </w:r>
      <w:proofErr w:type="spellEnd"/>
      <w:r w:rsidRPr="00053AE5">
        <w:rPr>
          <w:rFonts w:ascii="Times New Roman" w:eastAsia="Times New Roman" w:hAnsi="Times New Roman" w:cs="Times New Roman"/>
          <w:sz w:val="24"/>
          <w:szCs w:val="24"/>
        </w:rPr>
        <w:t xml:space="preserve"> (Negev) desert — where they lived for the ensuing 20 years under Israeli military rule.</w:t>
      </w:r>
    </w:p>
    <w:p w14:paraId="040D316A" w14:textId="77777777" w:rsidR="00053AE5" w:rsidRPr="00053AE5" w:rsidRDefault="00053AE5" w:rsidP="00053AE5">
      <w:pPr>
        <w:spacing w:before="100" w:beforeAutospacing="1" w:after="100" w:afterAutospacing="1" w:line="240" w:lineRule="auto"/>
        <w:rPr>
          <w:rFonts w:ascii="Times New Roman" w:eastAsia="Times New Roman" w:hAnsi="Times New Roman" w:cs="Times New Roman"/>
          <w:sz w:val="24"/>
          <w:szCs w:val="24"/>
        </w:rPr>
      </w:pPr>
      <w:r w:rsidRPr="00053AE5">
        <w:rPr>
          <w:rFonts w:ascii="Times New Roman" w:eastAsia="Times New Roman" w:hAnsi="Times New Roman" w:cs="Times New Roman"/>
          <w:sz w:val="24"/>
          <w:szCs w:val="24"/>
        </w:rPr>
        <w:t xml:space="preserve">Persisting in its efforts to exert control over the land, Israel adopted a cleaner but no less violent weapon: the law. Behind the façade of legal neutrality, Israel continued to confiscate Arab land. Property belonging to Palestinian refugees (even the internally displaced who remained within the new state’s boundaries and became citizens) was transferred to a designated state authority, and as much as 50 percent of property owned by Palestinian Arabs who became Israeli citizens was expropriated and, in most cases, used for the “public purpose” of </w:t>
      </w:r>
      <w:hyperlink r:id="rId10" w:history="1">
        <w:r w:rsidRPr="00053AE5">
          <w:rPr>
            <w:rFonts w:ascii="Times New Roman" w:eastAsia="Times New Roman" w:hAnsi="Times New Roman" w:cs="Times New Roman"/>
            <w:sz w:val="24"/>
            <w:szCs w:val="24"/>
            <w:u w:val="single"/>
          </w:rPr>
          <w:t>Jewish settlement</w:t>
        </w:r>
      </w:hyperlink>
      <w:r w:rsidRPr="00053AE5">
        <w:rPr>
          <w:rFonts w:ascii="Times New Roman" w:eastAsia="Times New Roman" w:hAnsi="Times New Roman" w:cs="Times New Roman"/>
          <w:sz w:val="24"/>
          <w:szCs w:val="24"/>
        </w:rPr>
        <w:t>.</w:t>
      </w:r>
    </w:p>
    <w:p w14:paraId="092D4F6E" w14:textId="77777777" w:rsidR="00053AE5" w:rsidRPr="00053AE5" w:rsidRDefault="00053AE5" w:rsidP="00053AE5">
      <w:pPr>
        <w:spacing w:before="100" w:beforeAutospacing="1" w:after="100" w:afterAutospacing="1" w:line="240" w:lineRule="auto"/>
        <w:rPr>
          <w:rFonts w:ascii="Times New Roman" w:eastAsia="Times New Roman" w:hAnsi="Times New Roman" w:cs="Times New Roman"/>
          <w:sz w:val="24"/>
          <w:szCs w:val="24"/>
        </w:rPr>
      </w:pPr>
      <w:r w:rsidRPr="00053AE5">
        <w:rPr>
          <w:rFonts w:ascii="Times New Roman" w:eastAsia="Times New Roman" w:hAnsi="Times New Roman" w:cs="Times New Roman"/>
          <w:sz w:val="24"/>
          <w:szCs w:val="24"/>
        </w:rPr>
        <w:t xml:space="preserve">Even today, Israel continues to use land and expropriation laws to wrest control of Arab-owned land, particularly in the </w:t>
      </w:r>
      <w:proofErr w:type="spellStart"/>
      <w:r w:rsidRPr="00053AE5">
        <w:rPr>
          <w:rFonts w:ascii="Times New Roman" w:eastAsia="Times New Roman" w:hAnsi="Times New Roman" w:cs="Times New Roman"/>
          <w:sz w:val="24"/>
          <w:szCs w:val="24"/>
        </w:rPr>
        <w:t>Naqab</w:t>
      </w:r>
      <w:proofErr w:type="spellEnd"/>
      <w:r w:rsidRPr="00053AE5">
        <w:rPr>
          <w:rFonts w:ascii="Times New Roman" w:eastAsia="Times New Roman" w:hAnsi="Times New Roman" w:cs="Times New Roman"/>
          <w:sz w:val="24"/>
          <w:szCs w:val="24"/>
        </w:rPr>
        <w:t xml:space="preserve"> and Jerusalem areas.</w:t>
      </w:r>
    </w:p>
    <w:p w14:paraId="2A4CF0F9" w14:textId="77777777" w:rsidR="00053AE5" w:rsidRPr="00053AE5" w:rsidRDefault="00053AE5" w:rsidP="00053AE5">
      <w:pPr>
        <w:spacing w:before="100" w:beforeAutospacing="1" w:after="100" w:afterAutospacing="1" w:line="240" w:lineRule="auto"/>
        <w:rPr>
          <w:rFonts w:ascii="Times New Roman" w:eastAsia="Times New Roman" w:hAnsi="Times New Roman" w:cs="Times New Roman"/>
          <w:sz w:val="24"/>
          <w:szCs w:val="24"/>
        </w:rPr>
      </w:pPr>
      <w:r w:rsidRPr="00053AE5">
        <w:rPr>
          <w:rFonts w:ascii="Times New Roman" w:eastAsia="Times New Roman" w:hAnsi="Times New Roman" w:cs="Times New Roman"/>
          <w:sz w:val="24"/>
          <w:szCs w:val="24"/>
        </w:rPr>
        <w:t>Following the military and legal stages of land takeover, Israel then turned to zoning and planning regulations to limit Arab use of land. For generations, Israel neglected to draw up any building or land development plans for Arab towns and villages. However, it did take care to map out the municipal boundaries of Arab communities in the early days of the state, very deliberately wrapping them tightly around the outermost homes in each town.</w:t>
      </w:r>
    </w:p>
    <w:p w14:paraId="64C55B45" w14:textId="77777777" w:rsidR="00053AE5" w:rsidRPr="00053AE5" w:rsidRDefault="00053AE5" w:rsidP="00053AE5">
      <w:pPr>
        <w:spacing w:before="100" w:beforeAutospacing="1" w:after="100" w:afterAutospacing="1" w:line="240" w:lineRule="auto"/>
        <w:rPr>
          <w:rFonts w:ascii="Times New Roman" w:eastAsia="Times New Roman" w:hAnsi="Times New Roman" w:cs="Times New Roman"/>
          <w:sz w:val="24"/>
          <w:szCs w:val="24"/>
        </w:rPr>
      </w:pPr>
      <w:r w:rsidRPr="00053AE5">
        <w:rPr>
          <w:rFonts w:ascii="Times New Roman" w:eastAsia="Times New Roman" w:hAnsi="Times New Roman" w:cs="Times New Roman"/>
          <w:sz w:val="24"/>
          <w:szCs w:val="24"/>
        </w:rPr>
        <w:t>As the decades passed, the boundaries of most of these towns were never expanded. Most Arab-owned agricultural land was reallocated to surrounding Jewish regional councils. Deliberately-placed military bases and firing zones, state-managed forests, national parks, nature reserves, and highways today serve as barriers that encircle and confine Arab villages in Israel.</w:t>
      </w:r>
    </w:p>
    <w:p w14:paraId="024B459B" w14:textId="77777777" w:rsidR="00053AE5" w:rsidRPr="00053AE5" w:rsidRDefault="00053AE5" w:rsidP="00053AE5">
      <w:pPr>
        <w:spacing w:before="100" w:beforeAutospacing="1" w:after="100" w:afterAutospacing="1" w:line="240" w:lineRule="auto"/>
        <w:rPr>
          <w:rFonts w:ascii="Times New Roman" w:eastAsia="Times New Roman" w:hAnsi="Times New Roman" w:cs="Times New Roman"/>
          <w:sz w:val="24"/>
          <w:szCs w:val="24"/>
        </w:rPr>
      </w:pPr>
      <w:r w:rsidRPr="00053AE5">
        <w:rPr>
          <w:rFonts w:ascii="Times New Roman" w:eastAsia="Times New Roman" w:hAnsi="Times New Roman" w:cs="Times New Roman"/>
          <w:sz w:val="24"/>
          <w:szCs w:val="24"/>
        </w:rPr>
        <w:t xml:space="preserve">Rather than making up for the decades of discriminatory policies that have resulted in today’s phenomenon of unauthorized construction, the </w:t>
      </w:r>
      <w:proofErr w:type="spellStart"/>
      <w:r w:rsidRPr="00053AE5">
        <w:rPr>
          <w:rFonts w:ascii="Times New Roman" w:eastAsia="Times New Roman" w:hAnsi="Times New Roman" w:cs="Times New Roman"/>
          <w:sz w:val="24"/>
          <w:szCs w:val="24"/>
        </w:rPr>
        <w:t>Kaminitz</w:t>
      </w:r>
      <w:proofErr w:type="spellEnd"/>
      <w:r w:rsidRPr="00053AE5">
        <w:rPr>
          <w:rFonts w:ascii="Times New Roman" w:eastAsia="Times New Roman" w:hAnsi="Times New Roman" w:cs="Times New Roman"/>
          <w:sz w:val="24"/>
          <w:szCs w:val="24"/>
        </w:rPr>
        <w:t xml:space="preserve"> Law threatens Palestinian citizens of Israel with heavy fines and prison time — criminalizing their right to shelter and their struggle to survive in the face of discriminatory policies.</w:t>
      </w:r>
    </w:p>
    <w:p w14:paraId="1CB9EF20" w14:textId="77777777" w:rsidR="00053AE5" w:rsidRPr="00053AE5" w:rsidRDefault="00053AE5" w:rsidP="00053AE5">
      <w:pPr>
        <w:spacing w:before="100" w:beforeAutospacing="1" w:after="100" w:afterAutospacing="1" w:line="240" w:lineRule="auto"/>
        <w:rPr>
          <w:rFonts w:ascii="Times New Roman" w:eastAsia="Times New Roman" w:hAnsi="Times New Roman" w:cs="Times New Roman"/>
          <w:sz w:val="24"/>
          <w:szCs w:val="24"/>
        </w:rPr>
      </w:pPr>
      <w:r w:rsidRPr="00053AE5">
        <w:rPr>
          <w:rFonts w:ascii="Times New Roman" w:eastAsia="Times New Roman" w:hAnsi="Times New Roman" w:cs="Times New Roman"/>
          <w:sz w:val="24"/>
          <w:szCs w:val="24"/>
        </w:rPr>
        <w:t>If the 1948 Nakba was the opening shot in Israel’s land grab campaign, this new law is its latest weapon in the arsenal designed to control and restrict Arab citizens, while reinforcing the state’s Jewish character and giving clear preference to Jewish citizens.</w:t>
      </w:r>
    </w:p>
    <w:p w14:paraId="241771BA" w14:textId="77777777" w:rsidR="00053AE5" w:rsidRPr="00053AE5" w:rsidRDefault="00053AE5" w:rsidP="00053AE5">
      <w:pPr>
        <w:spacing w:before="100" w:beforeAutospacing="1" w:after="100" w:afterAutospacing="1" w:line="240" w:lineRule="auto"/>
        <w:rPr>
          <w:rFonts w:ascii="Times New Roman" w:eastAsia="Times New Roman" w:hAnsi="Times New Roman" w:cs="Times New Roman"/>
          <w:sz w:val="24"/>
          <w:szCs w:val="24"/>
        </w:rPr>
      </w:pPr>
      <w:r w:rsidRPr="00053AE5">
        <w:rPr>
          <w:rFonts w:ascii="Times New Roman" w:eastAsia="Times New Roman" w:hAnsi="Times New Roman" w:cs="Times New Roman"/>
          <w:i/>
          <w:iCs/>
          <w:sz w:val="24"/>
          <w:szCs w:val="24"/>
        </w:rPr>
        <w:lastRenderedPageBreak/>
        <w:t xml:space="preserve">This article originally appeared in </w:t>
      </w:r>
      <w:hyperlink r:id="rId11" w:tgtFrame="_blank" w:history="1">
        <w:r w:rsidRPr="00053AE5">
          <w:rPr>
            <w:rFonts w:ascii="Times New Roman" w:eastAsia="Times New Roman" w:hAnsi="Times New Roman" w:cs="Times New Roman"/>
            <w:i/>
            <w:iCs/>
            <w:sz w:val="24"/>
            <w:szCs w:val="24"/>
            <w:u w:val="single"/>
          </w:rPr>
          <w:t>+972 Magazine</w:t>
        </w:r>
      </w:hyperlink>
      <w:r w:rsidRPr="00053AE5">
        <w:rPr>
          <w:rFonts w:ascii="Times New Roman" w:eastAsia="Times New Roman" w:hAnsi="Times New Roman" w:cs="Times New Roman"/>
          <w:i/>
          <w:iCs/>
          <w:sz w:val="24"/>
          <w:szCs w:val="24"/>
        </w:rPr>
        <w:t>.</w:t>
      </w:r>
    </w:p>
    <w:bookmarkEnd w:id="0"/>
    <w:p w14:paraId="3272A18C" w14:textId="77777777" w:rsidR="002711F6" w:rsidRPr="00053AE5" w:rsidRDefault="00053AE5"/>
    <w:sectPr w:rsidR="002711F6" w:rsidRPr="00053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E5"/>
    <w:rsid w:val="00053AE5"/>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0794"/>
  <w15:chartTrackingRefBased/>
  <w15:docId w15:val="{192CE22A-FC95-4227-9AFE-1BCB372F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3A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AE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53AE5"/>
    <w:rPr>
      <w:color w:val="0000FF"/>
      <w:u w:val="single"/>
    </w:rPr>
  </w:style>
  <w:style w:type="paragraph" w:customStyle="1" w:styleId="media-caption">
    <w:name w:val="media-caption"/>
    <w:basedOn w:val="Normal"/>
    <w:rsid w:val="00053A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53A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br">
    <w:name w:val="bebr"/>
    <w:basedOn w:val="Normal"/>
    <w:rsid w:val="00053A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3AE5"/>
    <w:rPr>
      <w:b/>
      <w:bCs/>
    </w:rPr>
  </w:style>
  <w:style w:type="character" w:styleId="Emphasis">
    <w:name w:val="Emphasis"/>
    <w:basedOn w:val="DefaultParagraphFont"/>
    <w:uiPriority w:val="20"/>
    <w:qFormat/>
    <w:rsid w:val="00053A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165504">
      <w:bodyDiv w:val="1"/>
      <w:marLeft w:val="0"/>
      <w:marRight w:val="0"/>
      <w:marTop w:val="0"/>
      <w:marBottom w:val="0"/>
      <w:divBdr>
        <w:top w:val="none" w:sz="0" w:space="0" w:color="auto"/>
        <w:left w:val="none" w:sz="0" w:space="0" w:color="auto"/>
        <w:bottom w:val="none" w:sz="0" w:space="0" w:color="auto"/>
        <w:right w:val="none" w:sz="0" w:space="0" w:color="auto"/>
      </w:divBdr>
      <w:divsChild>
        <w:div w:id="394013746">
          <w:marLeft w:val="0"/>
          <w:marRight w:val="0"/>
          <w:marTop w:val="0"/>
          <w:marBottom w:val="0"/>
          <w:divBdr>
            <w:top w:val="none" w:sz="0" w:space="0" w:color="auto"/>
            <w:left w:val="none" w:sz="0" w:space="0" w:color="auto"/>
            <w:bottom w:val="none" w:sz="0" w:space="0" w:color="auto"/>
            <w:right w:val="none" w:sz="0" w:space="0" w:color="auto"/>
          </w:divBdr>
        </w:div>
        <w:div w:id="1754278872">
          <w:marLeft w:val="0"/>
          <w:marRight w:val="0"/>
          <w:marTop w:val="0"/>
          <w:marBottom w:val="0"/>
          <w:divBdr>
            <w:top w:val="none" w:sz="0" w:space="0" w:color="auto"/>
            <w:left w:val="none" w:sz="0" w:space="0" w:color="auto"/>
            <w:bottom w:val="none" w:sz="0" w:space="0" w:color="auto"/>
            <w:right w:val="none" w:sz="0" w:space="0" w:color="auto"/>
          </w:divBdr>
          <w:divsChild>
            <w:div w:id="135267464">
              <w:marLeft w:val="0"/>
              <w:marRight w:val="0"/>
              <w:marTop w:val="0"/>
              <w:marBottom w:val="0"/>
              <w:divBdr>
                <w:top w:val="none" w:sz="0" w:space="0" w:color="auto"/>
                <w:left w:val="none" w:sz="0" w:space="0" w:color="auto"/>
                <w:bottom w:val="none" w:sz="0" w:space="0" w:color="auto"/>
                <w:right w:val="none" w:sz="0" w:space="0" w:color="auto"/>
              </w:divBdr>
            </w:div>
          </w:divsChild>
        </w:div>
        <w:div w:id="2085180001">
          <w:marLeft w:val="0"/>
          <w:marRight w:val="0"/>
          <w:marTop w:val="0"/>
          <w:marBottom w:val="0"/>
          <w:divBdr>
            <w:top w:val="none" w:sz="0" w:space="0" w:color="auto"/>
            <w:left w:val="none" w:sz="0" w:space="0" w:color="auto"/>
            <w:bottom w:val="none" w:sz="0" w:space="0" w:color="auto"/>
            <w:right w:val="none" w:sz="0" w:space="0" w:color="auto"/>
          </w:divBdr>
          <w:divsChild>
            <w:div w:id="1233155861">
              <w:marLeft w:val="0"/>
              <w:marRight w:val="0"/>
              <w:marTop w:val="0"/>
              <w:marBottom w:val="0"/>
              <w:divBdr>
                <w:top w:val="none" w:sz="0" w:space="0" w:color="auto"/>
                <w:left w:val="none" w:sz="0" w:space="0" w:color="auto"/>
                <w:bottom w:val="none" w:sz="0" w:space="0" w:color="auto"/>
                <w:right w:val="none" w:sz="0" w:space="0" w:color="auto"/>
              </w:divBdr>
              <w:divsChild>
                <w:div w:id="5646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972mag.com/house-demolitions-zionisms-constant-background-noise/7375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knesset.gov.il/mmm/data/pdf/m03658.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972mag.com/home-demolitions-are-organized-state-violence/121017/" TargetMode="External"/><Relationship Id="rId11" Type="http://schemas.openxmlformats.org/officeDocument/2006/relationships/hyperlink" Target="https://972mag.com/israel-aims-new-nakba-style-weapon-at-arab-citizens/127322/" TargetMode="External"/><Relationship Id="rId5" Type="http://schemas.openxmlformats.org/officeDocument/2006/relationships/hyperlink" Target="https://www.acri.org.il/en/2017/02/06/position-paper-kaminitz-law-draft-planning-and-construction-law/" TargetMode="External"/><Relationship Id="rId10" Type="http://schemas.openxmlformats.org/officeDocument/2006/relationships/hyperlink" Target="https://972mag.com/high-court-okays-plan-to-raze-arab-village-build-jewish-one-in-its-place/106637/" TargetMode="External"/><Relationship Id="rId4" Type="http://schemas.openxmlformats.org/officeDocument/2006/relationships/hyperlink" Target="http://nakbafiles.org/author/myssana-morany/" TargetMode="External"/><Relationship Id="rId9" Type="http://schemas.openxmlformats.org/officeDocument/2006/relationships/hyperlink" Target="https://972mag.com/israels-disadvantaged-live-in-amonas-shadow/1238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2017-09-08T22:35:00Z</dcterms:created>
  <dcterms:modified xsi:type="dcterms:W3CDTF">2017-09-08T22:37:00Z</dcterms:modified>
</cp:coreProperties>
</file>