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C05D53">
        <w:trPr>
          <w:trHeight w:val="851"/>
        </w:trPr>
        <w:tc>
          <w:tcPr>
            <w:tcW w:w="1259" w:type="dxa"/>
            <w:tcBorders>
              <w:top w:val="nil"/>
              <w:left w:val="nil"/>
              <w:bottom w:val="single" w:sz="4" w:space="0" w:color="auto"/>
              <w:right w:val="nil"/>
            </w:tcBorders>
          </w:tcPr>
          <w:p w:rsidR="00C05D53" w:rsidRPr="00E806EE" w:rsidRDefault="00C05D53" w:rsidP="00C05D53">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C05D53" w:rsidRPr="00963CBA" w:rsidRDefault="00C05D53" w:rsidP="00C05D53">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C05D53" w:rsidRPr="00DE3EC0" w:rsidRDefault="00C05D53" w:rsidP="00C05D53">
            <w:pPr>
              <w:jc w:val="right"/>
            </w:pPr>
            <w:r w:rsidRPr="00326D0B">
              <w:rPr>
                <w:sz w:val="40"/>
              </w:rPr>
              <w:t>A</w:t>
            </w:r>
            <w:r>
              <w:t>/HRC/25/67</w:t>
            </w:r>
          </w:p>
        </w:tc>
      </w:tr>
      <w:tr w:rsidR="00C05D53">
        <w:trPr>
          <w:trHeight w:val="2835"/>
        </w:trPr>
        <w:tc>
          <w:tcPr>
            <w:tcW w:w="1259" w:type="dxa"/>
            <w:tcBorders>
              <w:top w:val="single" w:sz="4" w:space="0" w:color="auto"/>
              <w:left w:val="nil"/>
              <w:bottom w:val="single" w:sz="12" w:space="0" w:color="auto"/>
              <w:right w:val="nil"/>
            </w:tcBorders>
          </w:tcPr>
          <w:p w:rsidR="00C05D53" w:rsidRDefault="00C05D53" w:rsidP="00C05D5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1" o:title="_unlogo"/>
                </v:shape>
              </w:pict>
            </w:r>
          </w:p>
        </w:tc>
        <w:tc>
          <w:tcPr>
            <w:tcW w:w="5450" w:type="dxa"/>
            <w:gridSpan w:val="2"/>
            <w:tcBorders>
              <w:top w:val="single" w:sz="4" w:space="0" w:color="auto"/>
              <w:left w:val="nil"/>
              <w:bottom w:val="single" w:sz="12" w:space="0" w:color="auto"/>
              <w:right w:val="nil"/>
            </w:tcBorders>
          </w:tcPr>
          <w:p w:rsidR="00C05D53" w:rsidRPr="00B3317B" w:rsidRDefault="00C05D53" w:rsidP="00C05D53">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C05D53" w:rsidRDefault="00C05D53" w:rsidP="00C05D53">
            <w:pPr>
              <w:spacing w:before="240" w:line="240" w:lineRule="exact"/>
            </w:pPr>
            <w:r>
              <w:t>Distr.: General</w:t>
            </w:r>
          </w:p>
          <w:p w:rsidR="00C05D53" w:rsidRDefault="004A7CD5" w:rsidP="00C05D53">
            <w:pPr>
              <w:spacing w:line="240" w:lineRule="exact"/>
            </w:pPr>
            <w:r>
              <w:t>1</w:t>
            </w:r>
            <w:r w:rsidR="008512FD">
              <w:t>3</w:t>
            </w:r>
            <w:r w:rsidR="008D38DB">
              <w:t xml:space="preserve"> </w:t>
            </w:r>
            <w:r w:rsidR="00A177E7">
              <w:t xml:space="preserve">January </w:t>
            </w:r>
            <w:r w:rsidR="00C05D53">
              <w:t>201</w:t>
            </w:r>
            <w:r w:rsidR="00A177E7">
              <w:t>4</w:t>
            </w:r>
          </w:p>
          <w:p w:rsidR="00C05D53" w:rsidRDefault="00C05D53" w:rsidP="00C05D53">
            <w:pPr>
              <w:spacing w:line="240" w:lineRule="exact"/>
            </w:pPr>
          </w:p>
          <w:p w:rsidR="00C05D53" w:rsidRDefault="00C05D53" w:rsidP="00C05D53">
            <w:pPr>
              <w:spacing w:line="240" w:lineRule="exact"/>
            </w:pPr>
            <w:r>
              <w:t>Original: English</w:t>
            </w:r>
          </w:p>
        </w:tc>
      </w:tr>
    </w:tbl>
    <w:p w:rsidR="00C05D53" w:rsidRPr="00326D0B" w:rsidRDefault="00C05D53" w:rsidP="00C05D53">
      <w:pPr>
        <w:spacing w:before="120"/>
        <w:rPr>
          <w:b/>
          <w:sz w:val="24"/>
          <w:szCs w:val="24"/>
        </w:rPr>
      </w:pPr>
      <w:r w:rsidRPr="00326D0B">
        <w:rPr>
          <w:b/>
          <w:sz w:val="24"/>
          <w:szCs w:val="24"/>
        </w:rPr>
        <w:t xml:space="preserve">Human Rights Council </w:t>
      </w:r>
      <w:r w:rsidR="00E54F13">
        <w:rPr>
          <w:b/>
          <w:noProof/>
          <w:sz w:val="24"/>
          <w:szCs w:val="24"/>
          <w:lang w:val="en-US"/>
        </w:rPr>
        <w:pict>
          <v:shape id="_x0000_s1026" type="#_x0000_t75" style="position:absolute;margin-left:432.55pt;margin-top:623.6pt;width:50.25pt;height:50.25pt;z-index:1;mso-position-horizontal-relative:margin;mso-position-vertical-relative:margin" o:allowoverlap="f">
            <v:imagedata r:id="rId12" o:title="67&amp;Size=2 &amp;Lang=E"/>
            <w10:wrap anchorx="margin" anchory="margin"/>
          </v:shape>
        </w:pict>
      </w:r>
    </w:p>
    <w:p w:rsidR="00C05D53" w:rsidRPr="00326D0B" w:rsidRDefault="00C05D53" w:rsidP="00C05D53">
      <w:pPr>
        <w:rPr>
          <w:b/>
        </w:rPr>
      </w:pPr>
      <w:r w:rsidRPr="00326D0B">
        <w:rPr>
          <w:b/>
        </w:rPr>
        <w:t>Twenty-fifth session</w:t>
      </w:r>
      <w:bookmarkStart w:id="0" w:name="_GoBack"/>
      <w:bookmarkEnd w:id="0"/>
    </w:p>
    <w:p w:rsidR="00C05D53" w:rsidRDefault="00C05D53" w:rsidP="00C05D53">
      <w:r>
        <w:t xml:space="preserve">Agenda </w:t>
      </w:r>
      <w:r w:rsidR="007F5C54">
        <w:t xml:space="preserve">item </w:t>
      </w:r>
      <w:r>
        <w:t>7</w:t>
      </w:r>
    </w:p>
    <w:p w:rsidR="00C05D53" w:rsidRDefault="00C05D53" w:rsidP="00C05D53">
      <w:pPr>
        <w:rPr>
          <w:b/>
        </w:rPr>
      </w:pPr>
      <w:r w:rsidRPr="00326D0B">
        <w:rPr>
          <w:b/>
        </w:rPr>
        <w:t xml:space="preserve">Human rights situation in </w:t>
      </w:r>
      <w:smartTag w:uri="urn:schemas-microsoft-com:office:smarttags" w:element="place">
        <w:smartTag w:uri="urn:schemas-microsoft-com:office:smarttags" w:element="City">
          <w:r w:rsidRPr="00326D0B">
            <w:rPr>
              <w:b/>
            </w:rPr>
            <w:t>Palestine</w:t>
          </w:r>
        </w:smartTag>
      </w:smartTag>
      <w:r w:rsidRPr="00326D0B">
        <w:rPr>
          <w:b/>
        </w:rPr>
        <w:t xml:space="preserve"> and other </w:t>
      </w:r>
    </w:p>
    <w:p w:rsidR="00C05D53" w:rsidRDefault="00C05D53" w:rsidP="00C05D53">
      <w:pPr>
        <w:rPr>
          <w:b/>
        </w:rPr>
      </w:pPr>
      <w:r w:rsidRPr="00326D0B">
        <w:rPr>
          <w:b/>
        </w:rPr>
        <w:t>occupied Arab territories</w:t>
      </w:r>
    </w:p>
    <w:p w:rsidR="00411345" w:rsidRDefault="00C05D53" w:rsidP="008512FD">
      <w:pPr>
        <w:pStyle w:val="HMG"/>
      </w:pPr>
      <w:r>
        <w:tab/>
      </w:r>
      <w:r>
        <w:tab/>
        <w:t>Report of the Special Rapporteur on the situation of human rights in the Palestinian territories occupied since 1967, Richard Falk</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Change w:id="1">
          <w:tblGrid>
            <w:gridCol w:w="9637"/>
          </w:tblGrid>
        </w:tblGridChange>
      </w:tblGrid>
      <w:tr w:rsidR="00411345" w:rsidTr="004502ED">
        <w:trPr>
          <w:jc w:val="center"/>
        </w:trPr>
        <w:tc>
          <w:tcPr>
            <w:tcW w:w="9637" w:type="dxa"/>
            <w:shd w:val="clear" w:color="auto" w:fill="auto"/>
          </w:tcPr>
          <w:p w:rsidR="00411345" w:rsidRPr="00265E5F" w:rsidRDefault="00411345" w:rsidP="004502ED">
            <w:pPr>
              <w:spacing w:before="240" w:after="120"/>
              <w:ind w:left="255"/>
              <w:rPr>
                <w:i/>
                <w:sz w:val="24"/>
              </w:rPr>
            </w:pPr>
            <w:r w:rsidRPr="00265E5F">
              <w:rPr>
                <w:i/>
                <w:sz w:val="24"/>
              </w:rPr>
              <w:t>Summary</w:t>
            </w:r>
          </w:p>
        </w:tc>
      </w:tr>
      <w:tr w:rsidR="00411345" w:rsidTr="004502ED">
        <w:trPr>
          <w:jc w:val="center"/>
        </w:trPr>
        <w:tc>
          <w:tcPr>
            <w:tcW w:w="9637" w:type="dxa"/>
            <w:shd w:val="clear" w:color="auto" w:fill="auto"/>
          </w:tcPr>
          <w:p w:rsidR="00411345" w:rsidRDefault="00411345" w:rsidP="004502ED">
            <w:pPr>
              <w:pStyle w:val="SingleTxtG"/>
              <w:ind w:firstLine="566"/>
            </w:pPr>
            <w:r w:rsidRPr="00F27046">
              <w:t>The present report</w:t>
            </w:r>
            <w:r>
              <w:t xml:space="preserve"> is the final report of the current Special Rapporteur</w:t>
            </w:r>
            <w:r w:rsidRPr="00265E5F">
              <w:t xml:space="preserve"> </w:t>
            </w:r>
            <w:r w:rsidRPr="00F27046">
              <w:t>on the situation of human rights in the Palestinian territories occupied since 1967</w:t>
            </w:r>
            <w:r w:rsidR="003F0BE0">
              <w:t>, Richard </w:t>
            </w:r>
            <w:r>
              <w:t>Falk, submitted in accordance with</w:t>
            </w:r>
            <w:r w:rsidR="005E5CAB">
              <w:t xml:space="preserve"> Commission on Human Rights resolution </w:t>
            </w:r>
            <w:r w:rsidR="00A17F93">
              <w:t>1993/2 A</w:t>
            </w:r>
            <w:r>
              <w:t xml:space="preserve"> </w:t>
            </w:r>
            <w:r w:rsidR="00A17F93">
              <w:t xml:space="preserve">and </w:t>
            </w:r>
            <w:r>
              <w:t xml:space="preserve">Human Rights Council </w:t>
            </w:r>
            <w:r w:rsidR="005E5CAB">
              <w:t>decision 2</w:t>
            </w:r>
            <w:r>
              <w:t>/1</w:t>
            </w:r>
            <w:r w:rsidR="005E5CAB">
              <w:t>02</w:t>
            </w:r>
            <w:r>
              <w:t xml:space="preserve">. </w:t>
            </w:r>
            <w:r w:rsidR="003652DC">
              <w:t>In t</w:t>
            </w:r>
            <w:r>
              <w:t>he report</w:t>
            </w:r>
            <w:r w:rsidR="003652DC">
              <w:t>, the Special Rapporteur</w:t>
            </w:r>
            <w:r>
              <w:t xml:space="preserve"> addresses Israeli settlements in the West Bank, including East Jerusalem,</w:t>
            </w:r>
            <w:r w:rsidR="000F4CCF">
              <w:t xml:space="preserve"> and</w:t>
            </w:r>
            <w:r>
              <w:t xml:space="preserve"> the wall in the context of the tenth anniversary of the </w:t>
            </w:r>
            <w:r w:rsidR="003652DC">
              <w:t>a</w:t>
            </w:r>
            <w:r>
              <w:t xml:space="preserve">dvisory </w:t>
            </w:r>
            <w:r w:rsidR="003652DC">
              <w:t>o</w:t>
            </w:r>
            <w:r>
              <w:t xml:space="preserve">pinion of the International Court of Justice, and considers </w:t>
            </w:r>
            <w:r w:rsidR="003652DC">
              <w:t xml:space="preserve">the </w:t>
            </w:r>
            <w:r>
              <w:t>policies and practices</w:t>
            </w:r>
            <w:r w:rsidR="003652DC">
              <w:t xml:space="preserve"> of </w:t>
            </w:r>
            <w:smartTag w:uri="urn:schemas-microsoft-com:office:smarttags" w:element="country-region">
              <w:r w:rsidR="003652DC">
                <w:t>Israel</w:t>
              </w:r>
            </w:smartTag>
            <w:r>
              <w:t xml:space="preserve"> in </w:t>
            </w:r>
            <w:r w:rsidRPr="00A77935">
              <w:t xml:space="preserve">occupied </w:t>
            </w:r>
            <w:smartTag w:uri="urn:schemas-microsoft-com:office:smarttags" w:element="City">
              <w:smartTag w:uri="urn:schemas-microsoft-com:office:smarttags" w:element="place">
                <w:r w:rsidRPr="00A77935">
                  <w:t>Palestine</w:t>
                </w:r>
              </w:smartTag>
            </w:smartTag>
            <w:r w:rsidRPr="00A77935">
              <w:t xml:space="preserve"> i</w:t>
            </w:r>
            <w:r>
              <w:t xml:space="preserve">n light of the prohibition on segregation and apartheid. </w:t>
            </w:r>
            <w:r w:rsidR="003652DC">
              <w:t xml:space="preserve">He </w:t>
            </w:r>
            <w:r>
              <w:t>also addresses concerns in relation to the deterioration of the human rights situation of Palestinians living under the Israeli blockade in the Gaza Strip.</w:t>
            </w:r>
          </w:p>
        </w:tc>
      </w:tr>
      <w:tr w:rsidR="00411345" w:rsidTr="004502ED">
        <w:trPr>
          <w:jc w:val="center"/>
        </w:trPr>
        <w:tc>
          <w:tcPr>
            <w:tcW w:w="9637" w:type="dxa"/>
            <w:shd w:val="clear" w:color="auto" w:fill="auto"/>
          </w:tcPr>
          <w:p w:rsidR="00411345" w:rsidRDefault="00411345" w:rsidP="00411345"/>
        </w:tc>
      </w:tr>
    </w:tbl>
    <w:p w:rsidR="00411345" w:rsidRPr="0053264F" w:rsidRDefault="00411345" w:rsidP="007F5C54">
      <w:pPr>
        <w:spacing w:after="120"/>
        <w:rPr>
          <w:lang w:val="en-US"/>
        </w:rPr>
      </w:pPr>
    </w:p>
    <w:p w:rsidR="007F5C54" w:rsidRPr="00360FE6" w:rsidRDefault="00C05D53" w:rsidP="007F5C54">
      <w:pPr>
        <w:spacing w:after="120"/>
        <w:rPr>
          <w:sz w:val="28"/>
          <w:lang w:val="fr-CH"/>
        </w:rPr>
      </w:pPr>
      <w:r w:rsidRPr="0053264F">
        <w:rPr>
          <w:lang w:val="fr-CH"/>
        </w:rPr>
        <w:br w:type="page"/>
      </w:r>
      <w:r w:rsidR="007F5C54" w:rsidRPr="00360FE6">
        <w:rPr>
          <w:sz w:val="28"/>
          <w:lang w:val="fr-CH"/>
        </w:rPr>
        <w:lastRenderedPageBreak/>
        <w:t>Contents</w:t>
      </w:r>
    </w:p>
    <w:p w:rsidR="007F5C54" w:rsidRPr="00360FE6" w:rsidRDefault="007F5C54" w:rsidP="007F5C54">
      <w:pPr>
        <w:tabs>
          <w:tab w:val="right" w:pos="8929"/>
          <w:tab w:val="right" w:pos="9638"/>
        </w:tabs>
        <w:spacing w:after="120"/>
        <w:ind w:left="283"/>
        <w:rPr>
          <w:lang w:val="fr-CH"/>
        </w:rPr>
      </w:pPr>
      <w:r w:rsidRPr="00360FE6">
        <w:rPr>
          <w:i/>
          <w:sz w:val="18"/>
          <w:lang w:val="fr-CH"/>
        </w:rPr>
        <w:tab/>
        <w:t>Paragraphs</w:t>
      </w:r>
      <w:r w:rsidRPr="00360FE6">
        <w:rPr>
          <w:i/>
          <w:sz w:val="18"/>
          <w:lang w:val="fr-CH"/>
        </w:rPr>
        <w:tab/>
        <w:t>Page</w:t>
      </w:r>
    </w:p>
    <w:p w:rsidR="00C05D53" w:rsidRPr="00360FE6" w:rsidRDefault="007F5C54" w:rsidP="007F5C54">
      <w:pPr>
        <w:tabs>
          <w:tab w:val="right" w:pos="850"/>
          <w:tab w:val="left" w:pos="1134"/>
          <w:tab w:val="left" w:pos="1559"/>
          <w:tab w:val="left" w:pos="1984"/>
          <w:tab w:val="left" w:leader="dot" w:pos="7654"/>
          <w:tab w:val="right" w:pos="8929"/>
          <w:tab w:val="right" w:pos="9638"/>
        </w:tabs>
        <w:spacing w:after="120"/>
        <w:rPr>
          <w:lang w:val="fr-CH"/>
        </w:rPr>
      </w:pPr>
      <w:r w:rsidRPr="00360FE6">
        <w:rPr>
          <w:lang w:val="fr-CH"/>
        </w:rPr>
        <w:tab/>
        <w:t>I.</w:t>
      </w:r>
      <w:r w:rsidRPr="00360FE6">
        <w:rPr>
          <w:lang w:val="fr-CH"/>
        </w:rPr>
        <w:tab/>
      </w:r>
      <w:r w:rsidR="00C05D53" w:rsidRPr="00360FE6">
        <w:rPr>
          <w:lang w:val="fr-CH"/>
        </w:rPr>
        <w:t xml:space="preserve">Introduction </w:t>
      </w:r>
      <w:r w:rsidR="00C05D53" w:rsidRPr="00360FE6">
        <w:rPr>
          <w:lang w:val="fr-CH"/>
        </w:rPr>
        <w:tab/>
      </w:r>
      <w:r w:rsidR="00C05D53" w:rsidRPr="00360FE6">
        <w:rPr>
          <w:lang w:val="fr-CH"/>
        </w:rPr>
        <w:tab/>
        <w:t>1</w:t>
      </w:r>
      <w:r w:rsidRPr="00360FE6">
        <w:rPr>
          <w:lang w:val="fr-CH"/>
        </w:rPr>
        <w:t>–</w:t>
      </w:r>
      <w:r w:rsidR="00C05D53" w:rsidRPr="00360FE6">
        <w:rPr>
          <w:lang w:val="fr-CH"/>
        </w:rPr>
        <w:t>9</w:t>
      </w:r>
      <w:r w:rsidR="00C05D53" w:rsidRPr="00360FE6">
        <w:rPr>
          <w:lang w:val="fr-CH"/>
        </w:rPr>
        <w:tab/>
        <w:t>3</w:t>
      </w:r>
    </w:p>
    <w:p w:rsidR="00C05D53" w:rsidRDefault="007F5C54" w:rsidP="007F5C54">
      <w:pPr>
        <w:tabs>
          <w:tab w:val="right" w:pos="850"/>
          <w:tab w:val="left" w:pos="1134"/>
          <w:tab w:val="left" w:pos="1559"/>
          <w:tab w:val="left" w:pos="1984"/>
          <w:tab w:val="left" w:leader="dot" w:pos="7654"/>
          <w:tab w:val="right" w:pos="8929"/>
          <w:tab w:val="right" w:pos="9638"/>
        </w:tabs>
        <w:spacing w:after="120"/>
      </w:pPr>
      <w:r w:rsidRPr="00360FE6">
        <w:rPr>
          <w:lang w:val="fr-CH"/>
        </w:rPr>
        <w:tab/>
      </w:r>
      <w:r>
        <w:t>II.</w:t>
      </w:r>
      <w:r>
        <w:tab/>
      </w:r>
      <w:r w:rsidR="00C05D53">
        <w:t xml:space="preserve">The wall and the 2004 </w:t>
      </w:r>
      <w:r w:rsidR="00927F35">
        <w:t>a</w:t>
      </w:r>
      <w:r w:rsidR="00C05D53">
        <w:t xml:space="preserve">dvisory </w:t>
      </w:r>
      <w:r w:rsidR="00927F35">
        <w:t>o</w:t>
      </w:r>
      <w:r w:rsidR="00C05D53">
        <w:t xml:space="preserve">pinion </w:t>
      </w:r>
      <w:r w:rsidR="00C05D53">
        <w:tab/>
      </w:r>
      <w:r w:rsidR="00C05D53">
        <w:tab/>
        <w:t>10</w:t>
      </w:r>
      <w:r>
        <w:t>–</w:t>
      </w:r>
      <w:r w:rsidR="00C05D53">
        <w:t>21</w:t>
      </w:r>
      <w:r w:rsidR="00C05D53">
        <w:tab/>
        <w:t>5</w:t>
      </w:r>
    </w:p>
    <w:p w:rsidR="00F12163" w:rsidRDefault="007F5C54" w:rsidP="007F5C54">
      <w:pPr>
        <w:tabs>
          <w:tab w:val="right" w:pos="850"/>
          <w:tab w:val="left" w:pos="1134"/>
          <w:tab w:val="left" w:pos="1559"/>
          <w:tab w:val="left" w:pos="1984"/>
          <w:tab w:val="left" w:leader="dot" w:pos="7654"/>
          <w:tab w:val="right" w:pos="8929"/>
          <w:tab w:val="right" w:pos="9638"/>
        </w:tabs>
        <w:spacing w:after="120"/>
      </w:pPr>
      <w:r>
        <w:tab/>
        <w:t>III.</w:t>
      </w:r>
      <w:r>
        <w:tab/>
      </w:r>
      <w:r w:rsidR="00C05D53">
        <w:t>Israeli settlements and the fragment</w:t>
      </w:r>
      <w:r>
        <w:t xml:space="preserve">ation of occupied </w:t>
      </w:r>
      <w:smartTag w:uri="urn:schemas-microsoft-com:office:smarttags" w:element="City">
        <w:smartTag w:uri="urn:schemas-microsoft-com:office:smarttags" w:element="place">
          <w:r>
            <w:t>Palestine</w:t>
          </w:r>
        </w:smartTag>
      </w:smartTag>
      <w:r>
        <w:tab/>
      </w:r>
      <w:r>
        <w:tab/>
        <w:t>22–</w:t>
      </w:r>
      <w:r w:rsidR="00C05D53">
        <w:t>47</w:t>
      </w:r>
      <w:r w:rsidR="00C05D53">
        <w:tab/>
        <w:t>8</w:t>
      </w:r>
    </w:p>
    <w:p w:rsidR="00C05D53" w:rsidRDefault="007F5C54" w:rsidP="007F5C54">
      <w:pPr>
        <w:tabs>
          <w:tab w:val="right" w:pos="850"/>
          <w:tab w:val="left" w:pos="1134"/>
          <w:tab w:val="left" w:pos="1559"/>
          <w:tab w:val="left" w:pos="1984"/>
          <w:tab w:val="left" w:leader="dot" w:pos="7654"/>
          <w:tab w:val="right" w:pos="8929"/>
          <w:tab w:val="right" w:pos="9638"/>
        </w:tabs>
        <w:spacing w:after="120"/>
      </w:pPr>
      <w:r>
        <w:tab/>
        <w:t>IV.</w:t>
      </w:r>
      <w:r>
        <w:tab/>
      </w:r>
      <w:r w:rsidR="00C05D53">
        <w:t xml:space="preserve">The </w:t>
      </w:r>
      <w:smartTag w:uri="urn:schemas-microsoft-com:office:smarttags" w:element="place">
        <w:smartTag w:uri="urn:schemas-microsoft-com:office:smarttags" w:element="City">
          <w:r w:rsidR="00C05D53">
            <w:t>Gaza</w:t>
          </w:r>
        </w:smartTag>
      </w:smartTag>
      <w:r w:rsidR="00C05D53">
        <w:t xml:space="preserve"> </w:t>
      </w:r>
      <w:r>
        <w:t xml:space="preserve">Strip </w:t>
      </w:r>
      <w:r>
        <w:tab/>
      </w:r>
      <w:r>
        <w:tab/>
        <w:t>48–</w:t>
      </w:r>
      <w:r w:rsidR="00C05D53">
        <w:t>50</w:t>
      </w:r>
      <w:r w:rsidR="00C05D53">
        <w:tab/>
        <w:t>14</w:t>
      </w:r>
    </w:p>
    <w:p w:rsidR="007A5EF3" w:rsidRDefault="007F5C54" w:rsidP="007F5C54">
      <w:pPr>
        <w:tabs>
          <w:tab w:val="right" w:pos="850"/>
          <w:tab w:val="left" w:pos="1134"/>
          <w:tab w:val="left" w:pos="1559"/>
          <w:tab w:val="left" w:pos="1984"/>
          <w:tab w:val="left" w:leader="dot" w:pos="7654"/>
          <w:tab w:val="right" w:pos="8929"/>
          <w:tab w:val="right" w:pos="9638"/>
        </w:tabs>
        <w:spacing w:after="120"/>
      </w:pPr>
      <w:r>
        <w:tab/>
        <w:t>V.</w:t>
      </w:r>
      <w:r>
        <w:tab/>
      </w:r>
      <w:r w:rsidR="00927F35">
        <w:t>The q</w:t>
      </w:r>
      <w:r w:rsidR="00C05D53">
        <w:t>uestion of</w:t>
      </w:r>
      <w:r>
        <w:t xml:space="preserve"> apartheid and segregation </w:t>
      </w:r>
      <w:r>
        <w:tab/>
      </w:r>
      <w:r>
        <w:tab/>
        <w:t>51–</w:t>
      </w:r>
      <w:r w:rsidR="00C05D53">
        <w:t>7</w:t>
      </w:r>
      <w:r w:rsidR="008F4E44">
        <w:t>7</w:t>
      </w:r>
      <w:r w:rsidR="00C05D53">
        <w:tab/>
        <w:t>14</w:t>
      </w:r>
    </w:p>
    <w:p w:rsidR="00C05D53" w:rsidRDefault="007F5C54" w:rsidP="007F5C54">
      <w:pPr>
        <w:tabs>
          <w:tab w:val="right" w:pos="850"/>
          <w:tab w:val="left" w:pos="1134"/>
          <w:tab w:val="left" w:pos="1559"/>
          <w:tab w:val="left" w:pos="1984"/>
          <w:tab w:val="left" w:leader="dot" w:pos="7654"/>
          <w:tab w:val="right" w:pos="8929"/>
          <w:tab w:val="right" w:pos="9638"/>
        </w:tabs>
        <w:spacing w:after="120"/>
      </w:pPr>
      <w:r>
        <w:tab/>
        <w:t>VI.</w:t>
      </w:r>
      <w:r>
        <w:tab/>
        <w:t xml:space="preserve">Concluding </w:t>
      </w:r>
      <w:r w:rsidR="002F6448">
        <w:t>remarks</w:t>
      </w:r>
      <w:r>
        <w:tab/>
      </w:r>
      <w:r>
        <w:tab/>
        <w:t>7</w:t>
      </w:r>
      <w:r w:rsidR="008F4E44">
        <w:t>8</w:t>
      </w:r>
      <w:r>
        <w:t>–</w:t>
      </w:r>
      <w:r w:rsidR="008F4E44">
        <w:t>80</w:t>
      </w:r>
      <w:r w:rsidR="00C05D53">
        <w:tab/>
        <w:t>20</w:t>
      </w:r>
    </w:p>
    <w:p w:rsidR="00C05D53" w:rsidRPr="00793317" w:rsidRDefault="007F5C54" w:rsidP="007F5C54">
      <w:pPr>
        <w:tabs>
          <w:tab w:val="right" w:pos="850"/>
          <w:tab w:val="left" w:pos="1134"/>
          <w:tab w:val="left" w:pos="1559"/>
          <w:tab w:val="left" w:pos="1984"/>
          <w:tab w:val="left" w:leader="dot" w:pos="7654"/>
          <w:tab w:val="right" w:pos="8929"/>
          <w:tab w:val="right" w:pos="9638"/>
        </w:tabs>
        <w:spacing w:after="120"/>
      </w:pPr>
      <w:r>
        <w:tab/>
        <w:t>VII.</w:t>
      </w:r>
      <w:r>
        <w:tab/>
        <w:t>Recommendations</w:t>
      </w:r>
      <w:r>
        <w:tab/>
      </w:r>
      <w:r>
        <w:tab/>
        <w:t>8</w:t>
      </w:r>
      <w:r w:rsidR="008F4E44">
        <w:t>1</w:t>
      </w:r>
      <w:r w:rsidR="00C05D53">
        <w:tab/>
        <w:t>21</w:t>
      </w:r>
    </w:p>
    <w:p w:rsidR="00C05D53" w:rsidRPr="007F5C54" w:rsidRDefault="00C05D53" w:rsidP="00360FE6">
      <w:pPr>
        <w:pStyle w:val="HChG"/>
      </w:pPr>
      <w:r>
        <w:br w:type="page"/>
      </w:r>
      <w:r w:rsidR="00411345">
        <w:lastRenderedPageBreak/>
        <w:tab/>
      </w:r>
      <w:r w:rsidR="00CE0C88">
        <w:t>I.</w:t>
      </w:r>
      <w:r w:rsidR="00411345">
        <w:tab/>
      </w:r>
      <w:r w:rsidRPr="007F5C54">
        <w:t>Introduction</w:t>
      </w:r>
    </w:p>
    <w:p w:rsidR="00C05D53" w:rsidRDefault="00C05D53" w:rsidP="00C05D53">
      <w:pPr>
        <w:pStyle w:val="SingleTxtG"/>
        <w:numPr>
          <w:ilvl w:val="0"/>
          <w:numId w:val="10"/>
        </w:numPr>
        <w:ind w:left="1134" w:firstLine="0"/>
        <w:rPr>
          <w:lang w:eastAsia="en-GB"/>
        </w:rPr>
      </w:pPr>
      <w:r>
        <w:rPr>
          <w:lang w:eastAsia="en-GB"/>
        </w:rPr>
        <w:t xml:space="preserve">In his final presentation to the Human Rights Council, the Special Rapporteur </w:t>
      </w:r>
      <w:r w:rsidR="00A87025" w:rsidRPr="00F27046">
        <w:t>on the situation of human rights in the Palestinian territories occupied since 1967</w:t>
      </w:r>
      <w:r w:rsidR="00A87025">
        <w:t xml:space="preserve"> </w:t>
      </w:r>
      <w:r>
        <w:rPr>
          <w:lang w:eastAsia="en-GB"/>
        </w:rPr>
        <w:t xml:space="preserve">would like to underscore the importance of this mandate as providing an independent witness to the evolving effects of </w:t>
      </w:r>
      <w:r w:rsidR="00A87025">
        <w:rPr>
          <w:lang w:eastAsia="en-GB"/>
        </w:rPr>
        <w:t xml:space="preserve">the </w:t>
      </w:r>
      <w:r>
        <w:rPr>
          <w:lang w:eastAsia="en-GB"/>
        </w:rPr>
        <w:t xml:space="preserve">continuing occupation of </w:t>
      </w:r>
      <w:smartTag w:uri="urn:schemas-microsoft-com:office:smarttags" w:element="City">
        <w:r>
          <w:rPr>
            <w:lang w:eastAsia="en-GB"/>
          </w:rPr>
          <w:t>Palestine</w:t>
        </w:r>
      </w:smartTag>
      <w:r w:rsidR="00A87025">
        <w:rPr>
          <w:lang w:eastAsia="en-GB"/>
        </w:rPr>
        <w:t xml:space="preserve"> by </w:t>
      </w:r>
      <w:smartTag w:uri="urn:schemas-microsoft-com:office:smarttags" w:element="country-region">
        <w:smartTag w:uri="urn:schemas-microsoft-com:office:smarttags" w:element="place">
          <w:r w:rsidR="00A87025">
            <w:rPr>
              <w:lang w:eastAsia="en-GB"/>
            </w:rPr>
            <w:t>Israel</w:t>
          </w:r>
        </w:smartTag>
      </w:smartTag>
      <w:r>
        <w:rPr>
          <w:lang w:eastAsia="en-GB"/>
        </w:rPr>
        <w:t>. This exposure is centred upon the presentation of information received o</w:t>
      </w:r>
      <w:r w:rsidR="007111FA">
        <w:rPr>
          <w:lang w:eastAsia="en-GB"/>
        </w:rPr>
        <w:t>n</w:t>
      </w:r>
      <w:r>
        <w:rPr>
          <w:lang w:eastAsia="en-GB"/>
        </w:rPr>
        <w:t xml:space="preserve"> the persistence of severe violations of international humanitarian law and international human rights law. Bearing witness provides a record of violations</w:t>
      </w:r>
      <w:r w:rsidR="00F01976">
        <w:rPr>
          <w:lang w:eastAsia="en-GB"/>
        </w:rPr>
        <w:t xml:space="preserve"> by </w:t>
      </w:r>
      <w:smartTag w:uri="urn:schemas-microsoft-com:office:smarttags" w:element="country-region">
        <w:smartTag w:uri="urn:schemas-microsoft-com:office:smarttags" w:element="place">
          <w:r w:rsidR="00F01976">
            <w:rPr>
              <w:lang w:eastAsia="en-GB"/>
            </w:rPr>
            <w:t>Israel</w:t>
          </w:r>
        </w:smartTag>
      </w:smartTag>
      <w:r>
        <w:rPr>
          <w:lang w:eastAsia="en-GB"/>
        </w:rPr>
        <w:t xml:space="preserve"> and </w:t>
      </w:r>
      <w:r w:rsidR="00F01976">
        <w:rPr>
          <w:lang w:eastAsia="en-GB"/>
        </w:rPr>
        <w:t xml:space="preserve">its </w:t>
      </w:r>
      <w:r>
        <w:rPr>
          <w:lang w:eastAsia="en-GB"/>
        </w:rPr>
        <w:t xml:space="preserve">defiant attitude, and challenges the United Nations to take steps to ensure compliance. It should be remembered that the suffering of the people of </w:t>
      </w:r>
      <w:smartTag w:uri="urn:schemas-microsoft-com:office:smarttags" w:element="place">
        <w:smartTag w:uri="urn:schemas-microsoft-com:office:smarttags" w:element="City">
          <w:r>
            <w:rPr>
              <w:lang w:eastAsia="en-GB"/>
            </w:rPr>
            <w:t>Palestine</w:t>
          </w:r>
        </w:smartTag>
      </w:smartTag>
      <w:r>
        <w:rPr>
          <w:lang w:eastAsia="en-GB"/>
        </w:rPr>
        <w:t xml:space="preserve"> is inseparably linked to the partition arrangements initially proposed by the United Nations in 1947, and which were never implemented or revised in a manner that takes full account of the rights of the Palestinian people, above all their inalienable right of self-determination.</w:t>
      </w:r>
    </w:p>
    <w:p w:rsidR="00C05D53" w:rsidRDefault="00C05D53" w:rsidP="00AF672A">
      <w:pPr>
        <w:pStyle w:val="SingleTxtG"/>
        <w:numPr>
          <w:ilvl w:val="0"/>
          <w:numId w:val="10"/>
        </w:numPr>
        <w:ind w:left="1134" w:firstLine="0"/>
        <w:rPr>
          <w:lang w:eastAsia="en-GB"/>
        </w:rPr>
      </w:pPr>
      <w:r>
        <w:rPr>
          <w:lang w:eastAsia="en-GB"/>
        </w:rPr>
        <w:t xml:space="preserve">It was unfortunate that </w:t>
      </w:r>
      <w:smartTag w:uri="urn:schemas-microsoft-com:office:smarttags" w:element="country-region">
        <w:r>
          <w:rPr>
            <w:lang w:eastAsia="en-GB"/>
          </w:rPr>
          <w:t>Israel</w:t>
        </w:r>
      </w:smartTag>
      <w:r>
        <w:rPr>
          <w:lang w:eastAsia="en-GB"/>
        </w:rPr>
        <w:t xml:space="preserve"> refused even minimal cooperation with this mandate to the extent of allowing the Special Rapporteur to have access to occupied </w:t>
      </w:r>
      <w:smartTag w:uri="urn:schemas-microsoft-com:office:smarttags" w:element="City">
        <w:smartTag w:uri="urn:schemas-microsoft-com:office:smarttags" w:element="place">
          <w:r>
            <w:rPr>
              <w:lang w:eastAsia="en-GB"/>
            </w:rPr>
            <w:t>Palestine</w:t>
          </w:r>
        </w:smartTag>
      </w:smartTag>
      <w:r>
        <w:rPr>
          <w:lang w:eastAsia="en-GB"/>
        </w:rPr>
        <w:t xml:space="preserve"> during the past six years or of responding to several urgent appeals addressing specific situations of immediate concern that fell within the purview of the mandate. </w:t>
      </w:r>
      <w:r w:rsidRPr="00F267DD">
        <w:rPr>
          <w:lang w:eastAsia="en-GB"/>
        </w:rPr>
        <w:t>This</w:t>
      </w:r>
      <w:r>
        <w:rPr>
          <w:lang w:eastAsia="en-GB"/>
        </w:rPr>
        <w:t xml:space="preserve"> Special Rapporteur was expelled in December 2008 when attempting to enter </w:t>
      </w:r>
      <w:smartTag w:uri="urn:schemas-microsoft-com:office:smarttags" w:element="country-region">
        <w:r>
          <w:rPr>
            <w:lang w:eastAsia="en-GB"/>
          </w:rPr>
          <w:t>Israel</w:t>
        </w:r>
      </w:smartTag>
      <w:r>
        <w:rPr>
          <w:lang w:eastAsia="en-GB"/>
        </w:rPr>
        <w:t xml:space="preserve"> to carry out a mission of the mandate to visit occupied </w:t>
      </w:r>
      <w:smartTag w:uri="urn:schemas-microsoft-com:office:smarttags" w:element="place">
        <w:smartTag w:uri="urn:schemas-microsoft-com:office:smarttags" w:element="City">
          <w:r>
            <w:rPr>
              <w:lang w:eastAsia="en-GB"/>
            </w:rPr>
            <w:t>Palestine</w:t>
          </w:r>
        </w:smartTag>
      </w:smartTag>
      <w:r>
        <w:rPr>
          <w:lang w:eastAsia="en-GB"/>
        </w:rPr>
        <w:t xml:space="preserve">, and detained overnight in unpleasant prison conditions. Such humiliating non-cooperation represents a breach of the legal duty of </w:t>
      </w:r>
      <w:r w:rsidR="0033321E">
        <w:rPr>
          <w:lang w:eastAsia="en-GB"/>
        </w:rPr>
        <w:t>States M</w:t>
      </w:r>
      <w:r>
        <w:rPr>
          <w:lang w:eastAsia="en-GB"/>
        </w:rPr>
        <w:t xml:space="preserve">embers of the United Nations to facilitate all official undertakings of the </w:t>
      </w:r>
      <w:r w:rsidR="0033321E">
        <w:rPr>
          <w:lang w:eastAsia="en-GB"/>
        </w:rPr>
        <w:t>o</w:t>
      </w:r>
      <w:r>
        <w:rPr>
          <w:lang w:eastAsia="en-GB"/>
        </w:rPr>
        <w:t xml:space="preserve">rganization. Although it has been possible to gain information needed to report on the situation confronting Palestinians living under occupation, </w:t>
      </w:r>
      <w:r w:rsidR="0033321E" w:rsidRPr="004857E3">
        <w:rPr>
          <w:lang w:eastAsia="en-GB"/>
        </w:rPr>
        <w:t>non-cooperation</w:t>
      </w:r>
      <w:r w:rsidR="0033321E">
        <w:rPr>
          <w:lang w:eastAsia="en-GB"/>
        </w:rPr>
        <w:t xml:space="preserve"> </w:t>
      </w:r>
      <w:r>
        <w:rPr>
          <w:lang w:eastAsia="en-GB"/>
        </w:rPr>
        <w:t>deprives the mandate of direct interaction, including the receipt of testimony bearing on international law grievances from representatives of the Palestinian people. It is to be hoped that the</w:t>
      </w:r>
      <w:r w:rsidR="0033321E">
        <w:rPr>
          <w:lang w:eastAsia="en-GB"/>
        </w:rPr>
        <w:t xml:space="preserve"> next</w:t>
      </w:r>
      <w:r>
        <w:rPr>
          <w:lang w:eastAsia="en-GB"/>
        </w:rPr>
        <w:t xml:space="preserve"> Special Rapporteur to be appointed will receive sufficient backing from the </w:t>
      </w:r>
      <w:r w:rsidR="0033321E">
        <w:rPr>
          <w:lang w:eastAsia="en-GB"/>
        </w:rPr>
        <w:t xml:space="preserve">Human Rights Council </w:t>
      </w:r>
      <w:r>
        <w:rPr>
          <w:lang w:eastAsia="en-GB"/>
        </w:rPr>
        <w:t xml:space="preserve">to induce cooperation from </w:t>
      </w:r>
      <w:smartTag w:uri="urn:schemas-microsoft-com:office:smarttags" w:element="country-region">
        <w:smartTag w:uri="urn:schemas-microsoft-com:office:smarttags" w:element="place">
          <w:r>
            <w:rPr>
              <w:lang w:eastAsia="en-GB"/>
            </w:rPr>
            <w:t>Israel</w:t>
          </w:r>
        </w:smartTag>
      </w:smartTag>
      <w:r>
        <w:rPr>
          <w:lang w:eastAsia="en-GB"/>
        </w:rPr>
        <w:t xml:space="preserve"> and better protect</w:t>
      </w:r>
      <w:r w:rsidR="000F57EC">
        <w:rPr>
          <w:lang w:eastAsia="en-GB"/>
        </w:rPr>
        <w:t>ion</w:t>
      </w:r>
      <w:r>
        <w:rPr>
          <w:lang w:eastAsia="en-GB"/>
        </w:rPr>
        <w:t xml:space="preserve"> against defamatory attacks by </w:t>
      </w:r>
      <w:r w:rsidR="003510D4">
        <w:rPr>
          <w:lang w:eastAsia="en-GB"/>
        </w:rPr>
        <w:t xml:space="preserve">some </w:t>
      </w:r>
      <w:r w:rsidR="003A0ABC">
        <w:rPr>
          <w:lang w:eastAsia="en-GB"/>
        </w:rPr>
        <w:t>non-governmental organizations (</w:t>
      </w:r>
      <w:r>
        <w:rPr>
          <w:lang w:eastAsia="en-GB"/>
        </w:rPr>
        <w:t>NGOs</w:t>
      </w:r>
      <w:r w:rsidR="003A0ABC">
        <w:rPr>
          <w:lang w:eastAsia="en-GB"/>
        </w:rPr>
        <w:t>)</w:t>
      </w:r>
      <w:r>
        <w:rPr>
          <w:lang w:eastAsia="en-GB"/>
        </w:rPr>
        <w:t xml:space="preserve"> than was </w:t>
      </w:r>
      <w:r w:rsidR="0033321E">
        <w:rPr>
          <w:lang w:eastAsia="en-GB"/>
        </w:rPr>
        <w:t xml:space="preserve">the </w:t>
      </w:r>
      <w:r>
        <w:rPr>
          <w:lang w:eastAsia="en-GB"/>
        </w:rPr>
        <w:t>experience</w:t>
      </w:r>
      <w:r w:rsidR="0033321E">
        <w:rPr>
          <w:lang w:eastAsia="en-GB"/>
        </w:rPr>
        <w:t xml:space="preserve"> of the current mandate holder</w:t>
      </w:r>
      <w:r>
        <w:rPr>
          <w:lang w:eastAsia="en-GB"/>
        </w:rPr>
        <w:t>.</w:t>
      </w:r>
    </w:p>
    <w:p w:rsidR="00C05D53" w:rsidRDefault="0012756A" w:rsidP="00360FE6">
      <w:pPr>
        <w:pStyle w:val="SingleTxtG"/>
        <w:numPr>
          <w:ilvl w:val="0"/>
          <w:numId w:val="10"/>
        </w:numPr>
        <w:ind w:left="1134" w:firstLine="0"/>
        <w:rPr>
          <w:lang w:eastAsia="en-GB"/>
        </w:rPr>
      </w:pPr>
      <w:r w:rsidRPr="00360FE6">
        <w:rPr>
          <w:i/>
          <w:lang w:eastAsia="en-GB"/>
        </w:rPr>
        <w:t>International Law.</w:t>
      </w:r>
      <w:r>
        <w:rPr>
          <w:lang w:eastAsia="en-GB"/>
        </w:rPr>
        <w:t xml:space="preserve"> An abiding theme of </w:t>
      </w:r>
      <w:r w:rsidR="00BB5817">
        <w:rPr>
          <w:lang w:eastAsia="en-GB"/>
        </w:rPr>
        <w:t xml:space="preserve">the </w:t>
      </w:r>
      <w:r>
        <w:rPr>
          <w:lang w:eastAsia="en-GB"/>
        </w:rPr>
        <w:t xml:space="preserve">reports </w:t>
      </w:r>
      <w:r w:rsidR="00BB5817">
        <w:rPr>
          <w:lang w:eastAsia="en-GB"/>
        </w:rPr>
        <w:t xml:space="preserve">of the Special Rapporteur </w:t>
      </w:r>
      <w:r>
        <w:rPr>
          <w:lang w:eastAsia="en-GB"/>
        </w:rPr>
        <w:t xml:space="preserve">during the past six years has been the consistent failure of </w:t>
      </w:r>
      <w:smartTag w:uri="urn:schemas-microsoft-com:office:smarttags" w:element="country-region">
        <w:smartTag w:uri="urn:schemas-microsoft-com:office:smarttags" w:element="place">
          <w:r>
            <w:rPr>
              <w:lang w:eastAsia="en-GB"/>
            </w:rPr>
            <w:t>Israel</w:t>
          </w:r>
        </w:smartTag>
      </w:smartTag>
      <w:r>
        <w:rPr>
          <w:lang w:eastAsia="en-GB"/>
        </w:rPr>
        <w:t xml:space="preserve"> to comply with clear legal standards embodied in the </w:t>
      </w:r>
      <w:r w:rsidR="00DC62DF" w:rsidRPr="00DC62DF">
        <w:rPr>
          <w:lang w:eastAsia="en-GB"/>
        </w:rPr>
        <w:t xml:space="preserve">Geneva Convention relative to the Protection of Civilian Persons in Time of War </w:t>
      </w:r>
      <w:r w:rsidR="00DC62DF">
        <w:rPr>
          <w:lang w:eastAsia="en-GB"/>
        </w:rPr>
        <w:t>(</w:t>
      </w:r>
      <w:r>
        <w:rPr>
          <w:lang w:eastAsia="en-GB"/>
        </w:rPr>
        <w:t>Fourth Geneva Convention</w:t>
      </w:r>
      <w:r w:rsidR="00DC62DF">
        <w:rPr>
          <w:lang w:eastAsia="en-GB"/>
        </w:rPr>
        <w:t>)</w:t>
      </w:r>
      <w:r>
        <w:rPr>
          <w:lang w:eastAsia="en-GB"/>
        </w:rPr>
        <w:t xml:space="preserve"> and elsewhere in </w:t>
      </w:r>
      <w:r w:rsidR="00BB5817">
        <w:rPr>
          <w:lang w:eastAsia="en-GB"/>
        </w:rPr>
        <w:t>international humanitarian law</w:t>
      </w:r>
      <w:r>
        <w:rPr>
          <w:lang w:eastAsia="en-GB"/>
        </w:rPr>
        <w:t xml:space="preserve"> and international human rights law. This pattern, as will be detailed</w:t>
      </w:r>
      <w:r w:rsidRPr="0012756A">
        <w:rPr>
          <w:lang w:eastAsia="en-GB"/>
        </w:rPr>
        <w:t xml:space="preserve"> </w:t>
      </w:r>
      <w:r>
        <w:rPr>
          <w:lang w:eastAsia="en-GB"/>
        </w:rPr>
        <w:t xml:space="preserve">below, is flagrant in relation to the wall, settlements, </w:t>
      </w:r>
      <w:smartTag w:uri="urn:schemas-microsoft-com:office:smarttags" w:element="place">
        <w:r>
          <w:rPr>
            <w:lang w:eastAsia="en-GB"/>
          </w:rPr>
          <w:t>East Jerusalem</w:t>
        </w:r>
      </w:smartTag>
      <w:r>
        <w:rPr>
          <w:lang w:eastAsia="en-GB"/>
        </w:rPr>
        <w:t xml:space="preserve">, the Gaza Strip, water and land resources, and the human rights of Palestinians living under occupation. Also relevant is the failure of the United Nations to ensure implementation of the recommendations as to international law contained in two high-profile </w:t>
      </w:r>
      <w:r w:rsidR="00DC62DF">
        <w:rPr>
          <w:lang w:eastAsia="en-GB"/>
        </w:rPr>
        <w:t xml:space="preserve">Human Rights Council </w:t>
      </w:r>
      <w:r>
        <w:rPr>
          <w:lang w:eastAsia="en-GB"/>
        </w:rPr>
        <w:t>reports of 2009 and 2013, respectively those</w:t>
      </w:r>
      <w:r w:rsidR="00DC62DF">
        <w:rPr>
          <w:lang w:eastAsia="en-GB"/>
        </w:rPr>
        <w:t xml:space="preserve"> </w:t>
      </w:r>
      <w:r>
        <w:rPr>
          <w:lang w:eastAsia="en-GB"/>
        </w:rPr>
        <w:t>o</w:t>
      </w:r>
      <w:r w:rsidR="00DC62DF">
        <w:rPr>
          <w:lang w:eastAsia="en-GB"/>
        </w:rPr>
        <w:t>f</w:t>
      </w:r>
      <w:r w:rsidRPr="002D24B7">
        <w:t xml:space="preserve"> </w:t>
      </w:r>
      <w:r w:rsidR="00DC62DF">
        <w:t>t</w:t>
      </w:r>
      <w:r>
        <w:t xml:space="preserve">he </w:t>
      </w:r>
      <w:r w:rsidR="00DC62DF">
        <w:t xml:space="preserve">United Nations </w:t>
      </w:r>
      <w:r w:rsidR="00DC62DF">
        <w:rPr>
          <w:lang w:eastAsia="en-GB"/>
        </w:rPr>
        <w:t>F</w:t>
      </w:r>
      <w:r w:rsidRPr="002D24B7">
        <w:rPr>
          <w:lang w:eastAsia="en-GB"/>
        </w:rPr>
        <w:t>act-</w:t>
      </w:r>
      <w:r w:rsidR="00DC62DF">
        <w:rPr>
          <w:lang w:eastAsia="en-GB"/>
        </w:rPr>
        <w:t>F</w:t>
      </w:r>
      <w:r w:rsidRPr="002D24B7">
        <w:rPr>
          <w:lang w:eastAsia="en-GB"/>
        </w:rPr>
        <w:t xml:space="preserve">inding </w:t>
      </w:r>
      <w:r w:rsidR="00DC62DF">
        <w:rPr>
          <w:lang w:eastAsia="en-GB"/>
        </w:rPr>
        <w:t>M</w:t>
      </w:r>
      <w:r w:rsidRPr="002D24B7">
        <w:rPr>
          <w:lang w:eastAsia="en-GB"/>
        </w:rPr>
        <w:t>ission on the Gaza Conflict</w:t>
      </w:r>
      <w:r>
        <w:rPr>
          <w:lang w:eastAsia="en-GB"/>
        </w:rPr>
        <w:t xml:space="preserve"> (A/HRC/12/48) and</w:t>
      </w:r>
      <w:r w:rsidR="00DC62DF">
        <w:rPr>
          <w:lang w:eastAsia="en-GB"/>
        </w:rPr>
        <w:t xml:space="preserve"> of</w:t>
      </w:r>
      <w:r>
        <w:rPr>
          <w:lang w:eastAsia="en-GB"/>
        </w:rPr>
        <w:t xml:space="preserve"> the fact-finding mission to investigate the human rights implications of the Israeli settlements (A/HRC/22/63). To the extent such a pattern is tolerated, it undermines respect for international</w:t>
      </w:r>
      <w:r w:rsidR="00AF672A">
        <w:rPr>
          <w:lang w:eastAsia="en-GB"/>
        </w:rPr>
        <w:t> </w:t>
      </w:r>
      <w:r>
        <w:rPr>
          <w:lang w:eastAsia="en-GB"/>
        </w:rPr>
        <w:t>law.</w:t>
      </w:r>
    </w:p>
    <w:p w:rsidR="00C05D53" w:rsidRDefault="00C05D53" w:rsidP="003F0BE0">
      <w:pPr>
        <w:pStyle w:val="SingleTxtG"/>
        <w:numPr>
          <w:ilvl w:val="0"/>
          <w:numId w:val="10"/>
        </w:numPr>
        <w:ind w:left="1134" w:firstLine="0"/>
        <w:rPr>
          <w:lang w:eastAsia="en-GB"/>
        </w:rPr>
      </w:pPr>
      <w:smartTag w:uri="urn:schemas-microsoft-com:office:smarttags" w:element="City">
        <w:smartTag w:uri="urn:schemas-microsoft-com:office:smarttags" w:element="place">
          <w:r w:rsidRPr="00360FE6">
            <w:rPr>
              <w:i/>
              <w:lang w:eastAsia="en-GB"/>
            </w:rPr>
            <w:t>Palestine</w:t>
          </w:r>
        </w:smartTag>
      </w:smartTag>
      <w:r>
        <w:rPr>
          <w:lang w:eastAsia="en-GB"/>
        </w:rPr>
        <w:t xml:space="preserve">. In </w:t>
      </w:r>
      <w:r w:rsidR="006638F3">
        <w:rPr>
          <w:lang w:eastAsia="en-GB"/>
        </w:rPr>
        <w:t xml:space="preserve">the </w:t>
      </w:r>
      <w:r>
        <w:rPr>
          <w:lang w:eastAsia="en-GB"/>
        </w:rPr>
        <w:t>light of the</w:t>
      </w:r>
      <w:r w:rsidR="006638F3">
        <w:rPr>
          <w:lang w:eastAsia="en-GB"/>
        </w:rPr>
        <w:t xml:space="preserve"> General Assembly’s</w:t>
      </w:r>
      <w:r>
        <w:rPr>
          <w:lang w:eastAsia="en-GB"/>
        </w:rPr>
        <w:t xml:space="preserve"> recognition of </w:t>
      </w:r>
      <w:smartTag w:uri="urn:schemas-microsoft-com:office:smarttags" w:element="City">
        <w:r>
          <w:rPr>
            <w:lang w:eastAsia="en-GB"/>
          </w:rPr>
          <w:t>Palestine</w:t>
        </w:r>
      </w:smartTag>
      <w:r>
        <w:rPr>
          <w:lang w:eastAsia="en-GB"/>
        </w:rPr>
        <w:t xml:space="preserve"> as a non-member </w:t>
      </w:r>
      <w:smartTag w:uri="urn:schemas-microsoft-com:office:smarttags" w:element="PlaceName">
        <w:r>
          <w:rPr>
            <w:lang w:eastAsia="en-GB"/>
          </w:rPr>
          <w:t>observer</w:t>
        </w:r>
      </w:smartTag>
      <w:r>
        <w:rPr>
          <w:lang w:eastAsia="en-GB"/>
        </w:rPr>
        <w:t xml:space="preserve"> </w:t>
      </w:r>
      <w:smartTag w:uri="urn:schemas-microsoft-com:office:smarttags" w:element="PlaceType">
        <w:r w:rsidR="007E51F4">
          <w:rPr>
            <w:lang w:eastAsia="en-GB"/>
          </w:rPr>
          <w:t>State</w:t>
        </w:r>
      </w:smartTag>
      <w:r w:rsidR="007E51F4">
        <w:rPr>
          <w:lang w:eastAsia="en-GB"/>
        </w:rPr>
        <w:t xml:space="preserve"> </w:t>
      </w:r>
      <w:r>
        <w:rPr>
          <w:lang w:eastAsia="en-GB"/>
        </w:rPr>
        <w:t xml:space="preserve">in </w:t>
      </w:r>
      <w:r w:rsidR="006638F3">
        <w:rPr>
          <w:lang w:eastAsia="en-GB"/>
        </w:rPr>
        <w:t xml:space="preserve">Assembly </w:t>
      </w:r>
      <w:r>
        <w:rPr>
          <w:lang w:eastAsia="en-GB"/>
        </w:rPr>
        <w:t xml:space="preserve">resolution </w:t>
      </w:r>
      <w:r w:rsidR="006638F3">
        <w:rPr>
          <w:lang w:eastAsia="en-GB"/>
        </w:rPr>
        <w:t xml:space="preserve">67/19 </w:t>
      </w:r>
      <w:r>
        <w:rPr>
          <w:lang w:eastAsia="en-GB"/>
        </w:rPr>
        <w:t>of 29</w:t>
      </w:r>
      <w:r w:rsidR="003F0BE0">
        <w:rPr>
          <w:lang w:eastAsia="en-GB"/>
        </w:rPr>
        <w:t> </w:t>
      </w:r>
      <w:r>
        <w:rPr>
          <w:lang w:eastAsia="en-GB"/>
        </w:rPr>
        <w:t xml:space="preserve">November 2012, it seems appropriate to refer to territory under Israeli occupation as </w:t>
      </w:r>
      <w:r w:rsidR="003F0BE0">
        <w:rPr>
          <w:lang w:eastAsia="en-GB"/>
        </w:rPr>
        <w:t>“</w:t>
      </w:r>
      <w:smartTag w:uri="urn:schemas-microsoft-com:office:smarttags" w:element="City">
        <w:r>
          <w:rPr>
            <w:lang w:eastAsia="en-GB"/>
          </w:rPr>
          <w:t>Palestine</w:t>
        </w:r>
      </w:smartTag>
      <w:r w:rsidR="003F0BE0">
        <w:rPr>
          <w:lang w:eastAsia="en-GB"/>
        </w:rPr>
        <w:t>”</w:t>
      </w:r>
      <w:r>
        <w:rPr>
          <w:lang w:eastAsia="en-GB"/>
        </w:rPr>
        <w:t xml:space="preserve"> rather than as </w:t>
      </w:r>
      <w:r w:rsidR="003F0BE0">
        <w:rPr>
          <w:lang w:eastAsia="en-GB"/>
        </w:rPr>
        <w:t>“</w:t>
      </w:r>
      <w:smartTag w:uri="urn:schemas-microsoft-com:office:smarttags" w:element="place">
        <w:smartTag w:uri="urn:schemas-microsoft-com:office:smarttags" w:element="PlaceName">
          <w:r>
            <w:rPr>
              <w:lang w:eastAsia="en-GB"/>
            </w:rPr>
            <w:t>Occupied</w:t>
          </w:r>
        </w:smartTag>
        <w:r>
          <w:rPr>
            <w:lang w:eastAsia="en-GB"/>
          </w:rPr>
          <w:t xml:space="preserve"> </w:t>
        </w:r>
        <w:smartTag w:uri="urn:schemas-microsoft-com:office:smarttags" w:element="PlaceName">
          <w:r>
            <w:rPr>
              <w:lang w:eastAsia="en-GB"/>
            </w:rPr>
            <w:t>Palestinian</w:t>
          </w:r>
        </w:smartTag>
        <w:r>
          <w:rPr>
            <w:lang w:eastAsia="en-GB"/>
          </w:rPr>
          <w:t xml:space="preserve"> </w:t>
        </w:r>
        <w:smartTag w:uri="urn:schemas-microsoft-com:office:smarttags" w:element="PlaceType">
          <w:r>
            <w:rPr>
              <w:lang w:eastAsia="en-GB"/>
            </w:rPr>
            <w:t>Territories</w:t>
          </w:r>
        </w:smartTag>
      </w:smartTag>
      <w:r w:rsidR="003F0BE0">
        <w:rPr>
          <w:lang w:eastAsia="en-GB"/>
        </w:rPr>
        <w:t>”</w:t>
      </w:r>
      <w:r>
        <w:rPr>
          <w:lang w:eastAsia="en-GB"/>
        </w:rPr>
        <w:t>. Such a shift in language also emphasizes the inadequacy of the international law framework available to address a condition of prolonged occupation that has now extended for more than 45</w:t>
      </w:r>
      <w:r w:rsidR="003F0BE0">
        <w:rPr>
          <w:lang w:eastAsia="en-GB"/>
        </w:rPr>
        <w:t> </w:t>
      </w:r>
      <w:r>
        <w:rPr>
          <w:lang w:eastAsia="en-GB"/>
        </w:rPr>
        <w:t xml:space="preserve">years. Special steps and procedures need to be adopted that will confer rights and establish the rule of law. To </w:t>
      </w:r>
      <w:r>
        <w:rPr>
          <w:lang w:eastAsia="en-GB"/>
        </w:rPr>
        <w:lastRenderedPageBreak/>
        <w:t xml:space="preserve">sustain indefinitely an oppressive occupation containing many punitive elements also seems designed to encourage residents to leave </w:t>
      </w:r>
      <w:smartTag w:uri="urn:schemas-microsoft-com:office:smarttags" w:element="City">
        <w:r>
          <w:rPr>
            <w:lang w:eastAsia="en-GB"/>
          </w:rPr>
          <w:t>Palestine</w:t>
        </w:r>
      </w:smartTag>
      <w:r>
        <w:rPr>
          <w:lang w:eastAsia="en-GB"/>
        </w:rPr>
        <w:t>, which is consistent with the apparent annexationist, colonialist and ethnic</w:t>
      </w:r>
      <w:r w:rsidR="00494474">
        <w:rPr>
          <w:lang w:eastAsia="en-GB"/>
        </w:rPr>
        <w:t>-</w:t>
      </w:r>
      <w:r>
        <w:rPr>
          <w:lang w:eastAsia="en-GB"/>
        </w:rPr>
        <w:t xml:space="preserve">cleansing goals of </w:t>
      </w:r>
      <w:smartTag w:uri="urn:schemas-microsoft-com:office:smarttags" w:element="country-region">
        <w:r>
          <w:rPr>
            <w:lang w:eastAsia="en-GB"/>
          </w:rPr>
          <w:t>Israel</w:t>
        </w:r>
      </w:smartTag>
      <w:r>
        <w:rPr>
          <w:lang w:eastAsia="en-GB"/>
        </w:rPr>
        <w:t xml:space="preserve">, especially in relation to the West Bank, including </w:t>
      </w:r>
      <w:smartTag w:uri="urn:schemas-microsoft-com:office:smarttags" w:element="place">
        <w:r>
          <w:rPr>
            <w:lang w:eastAsia="en-GB"/>
          </w:rPr>
          <w:t>East Jerusalem</w:t>
        </w:r>
      </w:smartTag>
      <w:r>
        <w:rPr>
          <w:lang w:eastAsia="en-GB"/>
        </w:rPr>
        <w:t>.</w:t>
      </w:r>
    </w:p>
    <w:p w:rsidR="00C05D53" w:rsidRDefault="00C05D53" w:rsidP="00C05D53">
      <w:pPr>
        <w:pStyle w:val="SingleTxtG"/>
        <w:numPr>
          <w:ilvl w:val="0"/>
          <w:numId w:val="10"/>
        </w:numPr>
        <w:ind w:left="1134" w:firstLine="0"/>
        <w:rPr>
          <w:lang w:eastAsia="en-GB"/>
        </w:rPr>
      </w:pPr>
      <w:r w:rsidRPr="00360FE6">
        <w:rPr>
          <w:i/>
          <w:lang w:eastAsia="en-GB"/>
        </w:rPr>
        <w:t xml:space="preserve">Corporate </w:t>
      </w:r>
      <w:r w:rsidR="00494474">
        <w:rPr>
          <w:i/>
          <w:lang w:eastAsia="en-GB"/>
        </w:rPr>
        <w:t>r</w:t>
      </w:r>
      <w:r w:rsidRPr="00360FE6">
        <w:rPr>
          <w:i/>
          <w:lang w:eastAsia="en-GB"/>
        </w:rPr>
        <w:t>esponsibility</w:t>
      </w:r>
      <w:r>
        <w:rPr>
          <w:lang w:eastAsia="en-GB"/>
        </w:rPr>
        <w:t xml:space="preserve">. Recent reports have underscored the potential implications for corporations and financial institutions that engage with and profit from Israeli settlements. The establishment and continued development of settlements is in violation of </w:t>
      </w:r>
      <w:r w:rsidR="00A63354">
        <w:rPr>
          <w:lang w:eastAsia="en-GB"/>
        </w:rPr>
        <w:t>a</w:t>
      </w:r>
      <w:r>
        <w:rPr>
          <w:lang w:eastAsia="en-GB"/>
        </w:rPr>
        <w:t>rticle</w:t>
      </w:r>
      <w:r w:rsidR="00AF672A">
        <w:rPr>
          <w:lang w:eastAsia="en-GB"/>
        </w:rPr>
        <w:t> </w:t>
      </w:r>
      <w:r>
        <w:rPr>
          <w:lang w:eastAsia="en-GB"/>
        </w:rPr>
        <w:t>49</w:t>
      </w:r>
      <w:r w:rsidRPr="00F267DD">
        <w:rPr>
          <w:lang w:eastAsia="en-GB"/>
        </w:rPr>
        <w:t>(6</w:t>
      </w:r>
      <w:r>
        <w:rPr>
          <w:lang w:eastAsia="en-GB"/>
        </w:rPr>
        <w:t xml:space="preserve">) of the Fourth Geneva Convention, an assessment reinforced by the International Court of Justice in its advisory opinion of 2004 on the wall. Such an initiative has tried at all times to proceed cooperatively with the economic actors involved, and has acknowledged instances of compliance with international law and relevant United Nations guidelines and the encouraging recent indication of governmental and European Union reinforcement of these </w:t>
      </w:r>
      <w:r w:rsidR="006F597C">
        <w:rPr>
          <w:lang w:eastAsia="en-GB"/>
        </w:rPr>
        <w:t>emergent obligations</w:t>
      </w:r>
      <w:r>
        <w:rPr>
          <w:lang w:eastAsia="en-GB"/>
        </w:rPr>
        <w:t xml:space="preserve">. This trend also converges with and reinforces the social mobilization of civil society in a variety of initiatives, especially the growing </w:t>
      </w:r>
      <w:r w:rsidR="001C3C5D">
        <w:rPr>
          <w:lang w:eastAsia="en-GB"/>
        </w:rPr>
        <w:t>b</w:t>
      </w:r>
      <w:r>
        <w:rPr>
          <w:lang w:eastAsia="en-GB"/>
        </w:rPr>
        <w:t xml:space="preserve">oycott, </w:t>
      </w:r>
      <w:r w:rsidR="001C3C5D">
        <w:rPr>
          <w:lang w:eastAsia="en-GB"/>
        </w:rPr>
        <w:t>d</w:t>
      </w:r>
      <w:r>
        <w:rPr>
          <w:lang w:eastAsia="en-GB"/>
        </w:rPr>
        <w:t xml:space="preserve">ivestment and </w:t>
      </w:r>
      <w:r w:rsidR="001C3C5D">
        <w:rPr>
          <w:lang w:eastAsia="en-GB"/>
        </w:rPr>
        <w:t>s</w:t>
      </w:r>
      <w:r>
        <w:rPr>
          <w:lang w:eastAsia="en-GB"/>
        </w:rPr>
        <w:t>anctions</w:t>
      </w:r>
      <w:r w:rsidR="001C3C5D">
        <w:rPr>
          <w:lang w:eastAsia="en-GB"/>
        </w:rPr>
        <w:t xml:space="preserve"> campaign</w:t>
      </w:r>
      <w:r>
        <w:rPr>
          <w:lang w:eastAsia="en-GB"/>
        </w:rPr>
        <w:t>.</w:t>
      </w:r>
    </w:p>
    <w:p w:rsidR="00C05D53" w:rsidRDefault="003F0BE0" w:rsidP="003F0BE0">
      <w:pPr>
        <w:pStyle w:val="SingleTxtG"/>
        <w:numPr>
          <w:ilvl w:val="0"/>
          <w:numId w:val="10"/>
        </w:numPr>
        <w:ind w:left="1134" w:firstLine="0"/>
        <w:rPr>
          <w:lang w:eastAsia="en-GB"/>
        </w:rPr>
      </w:pPr>
      <w:r w:rsidRPr="00360FE6">
        <w:rPr>
          <w:i/>
          <w:lang w:eastAsia="en-GB"/>
        </w:rPr>
        <w:t>“</w:t>
      </w:r>
      <w:r w:rsidR="00C05D53" w:rsidRPr="00360FE6">
        <w:rPr>
          <w:i/>
          <w:lang w:eastAsia="en-GB"/>
        </w:rPr>
        <w:t xml:space="preserve">Legitimacy </w:t>
      </w:r>
      <w:r w:rsidR="001C3C5D">
        <w:rPr>
          <w:i/>
          <w:lang w:eastAsia="en-GB"/>
        </w:rPr>
        <w:t>w</w:t>
      </w:r>
      <w:r w:rsidR="00C05D53" w:rsidRPr="00360FE6">
        <w:rPr>
          <w:i/>
          <w:lang w:eastAsia="en-GB"/>
        </w:rPr>
        <w:t>ar</w:t>
      </w:r>
      <w:r w:rsidRPr="00360FE6">
        <w:rPr>
          <w:i/>
          <w:lang w:eastAsia="en-GB"/>
        </w:rPr>
        <w:t>”</w:t>
      </w:r>
      <w:r w:rsidR="00C05D53">
        <w:rPr>
          <w:lang w:eastAsia="en-GB"/>
        </w:rPr>
        <w:t xml:space="preserve">. In the pursuit of Palestinian rights under circumstances of prolonged occupation, there is increasing reason to believe that despite the authority of international law and the expressed will of </w:t>
      </w:r>
      <w:r w:rsidR="004A7CD5">
        <w:rPr>
          <w:lang w:eastAsia="en-GB"/>
        </w:rPr>
        <w:t>States</w:t>
      </w:r>
      <w:r w:rsidR="00C05D53">
        <w:rPr>
          <w:lang w:eastAsia="en-GB"/>
        </w:rPr>
        <w:t xml:space="preserve"> </w:t>
      </w:r>
      <w:r w:rsidR="004A7CD5">
        <w:rPr>
          <w:lang w:eastAsia="en-GB"/>
        </w:rPr>
        <w:t>M</w:t>
      </w:r>
      <w:r w:rsidR="00C05D53">
        <w:rPr>
          <w:lang w:eastAsia="en-GB"/>
        </w:rPr>
        <w:t xml:space="preserve">embers of the United Nations, the situation is essentially frozen, if not regressing. In addition, Palestinians seem increasingly disillusioned with armed resistance and with traditional intergovernmental diplomacy. Palestinian hopes for the realization of their fundamental rights have </w:t>
      </w:r>
      <w:r w:rsidR="008A7986">
        <w:rPr>
          <w:lang w:eastAsia="en-GB"/>
        </w:rPr>
        <w:t xml:space="preserve">now </w:t>
      </w:r>
      <w:r w:rsidR="00C05D53">
        <w:rPr>
          <w:lang w:eastAsia="en-GB"/>
        </w:rPr>
        <w:t xml:space="preserve">shifted to engagement in a </w:t>
      </w:r>
      <w:r>
        <w:rPr>
          <w:lang w:eastAsia="en-GB"/>
        </w:rPr>
        <w:t>“</w:t>
      </w:r>
      <w:r w:rsidR="008A7986">
        <w:rPr>
          <w:lang w:eastAsia="en-GB"/>
        </w:rPr>
        <w:t>l</w:t>
      </w:r>
      <w:r w:rsidR="00C05D53">
        <w:rPr>
          <w:lang w:eastAsia="en-GB"/>
        </w:rPr>
        <w:t xml:space="preserve">egitimacy </w:t>
      </w:r>
      <w:r w:rsidR="008A7986">
        <w:rPr>
          <w:lang w:eastAsia="en-GB"/>
        </w:rPr>
        <w:t>w</w:t>
      </w:r>
      <w:r w:rsidR="00C05D53">
        <w:rPr>
          <w:lang w:eastAsia="en-GB"/>
        </w:rPr>
        <w:t>ar</w:t>
      </w:r>
      <w:r>
        <w:rPr>
          <w:lang w:eastAsia="en-GB"/>
        </w:rPr>
        <w:t>”</w:t>
      </w:r>
      <w:r w:rsidR="00265E5F">
        <w:rPr>
          <w:lang w:eastAsia="en-GB"/>
        </w:rPr>
        <w:t xml:space="preserve">, which </w:t>
      </w:r>
      <w:r w:rsidR="00C05D53" w:rsidRPr="00096007">
        <w:rPr>
          <w:lang w:eastAsia="en-GB"/>
        </w:rPr>
        <w:t xml:space="preserve">involves a worldwide struggle to gain control over the debate about legal entitlements and moral proprieties in the conflict </w:t>
      </w:r>
      <w:r w:rsidR="00265E5F">
        <w:rPr>
          <w:lang w:eastAsia="en-GB"/>
        </w:rPr>
        <w:t>supported</w:t>
      </w:r>
      <w:r w:rsidR="00C05D53" w:rsidRPr="00096007">
        <w:rPr>
          <w:lang w:eastAsia="en-GB"/>
        </w:rPr>
        <w:t xml:space="preserve"> by a global solidarity movement</w:t>
      </w:r>
      <w:r w:rsidR="00265E5F">
        <w:rPr>
          <w:lang w:eastAsia="en-GB"/>
        </w:rPr>
        <w:t xml:space="preserve"> that has begun to sway public </w:t>
      </w:r>
      <w:r w:rsidR="00C05D53" w:rsidRPr="00096007">
        <w:rPr>
          <w:lang w:eastAsia="en-GB"/>
        </w:rPr>
        <w:t xml:space="preserve"> opinion</w:t>
      </w:r>
      <w:r w:rsidR="00C05D53">
        <w:rPr>
          <w:lang w:eastAsia="en-GB"/>
        </w:rPr>
        <w:t xml:space="preserve">. The United Nations has a crucial role to play in this process by lending support to Palestinian claims of rights and providing assessments of associated grievances resulting from </w:t>
      </w:r>
      <w:r w:rsidR="008A7986">
        <w:rPr>
          <w:lang w:eastAsia="en-GB"/>
        </w:rPr>
        <w:t xml:space="preserve">the </w:t>
      </w:r>
      <w:r w:rsidR="00C05D53">
        <w:rPr>
          <w:lang w:eastAsia="en-GB"/>
        </w:rPr>
        <w:t xml:space="preserve">violation </w:t>
      </w:r>
      <w:r w:rsidR="008A7986">
        <w:rPr>
          <w:lang w:eastAsia="en-GB"/>
        </w:rPr>
        <w:t xml:space="preserve">by </w:t>
      </w:r>
      <w:smartTag w:uri="urn:schemas-microsoft-com:office:smarttags" w:element="country-region">
        <w:smartTag w:uri="urn:schemas-microsoft-com:office:smarttags" w:element="place">
          <w:r w:rsidR="008A7986">
            <w:rPr>
              <w:lang w:eastAsia="en-GB"/>
            </w:rPr>
            <w:t>Israel</w:t>
          </w:r>
        </w:smartTag>
      </w:smartTag>
      <w:r w:rsidR="008A7986">
        <w:rPr>
          <w:lang w:eastAsia="en-GB"/>
        </w:rPr>
        <w:t xml:space="preserve"> </w:t>
      </w:r>
      <w:r w:rsidR="00C05D53">
        <w:rPr>
          <w:lang w:eastAsia="en-GB"/>
        </w:rPr>
        <w:t xml:space="preserve">of </w:t>
      </w:r>
      <w:r w:rsidR="00BB5817">
        <w:rPr>
          <w:lang w:eastAsia="en-GB"/>
        </w:rPr>
        <w:t>international humanitarian law</w:t>
      </w:r>
      <w:r w:rsidR="00C05D53">
        <w:rPr>
          <w:lang w:eastAsia="en-GB"/>
        </w:rPr>
        <w:t xml:space="preserve"> and international human rights principles and standards. </w:t>
      </w:r>
    </w:p>
    <w:p w:rsidR="00C05D53" w:rsidRPr="002C10B2" w:rsidRDefault="00C05D53" w:rsidP="003F0BE0">
      <w:pPr>
        <w:pStyle w:val="SingleTxtG"/>
        <w:numPr>
          <w:ilvl w:val="0"/>
          <w:numId w:val="10"/>
        </w:numPr>
        <w:ind w:left="1134" w:firstLine="0"/>
        <w:rPr>
          <w:lang w:eastAsia="en-GB"/>
        </w:rPr>
      </w:pPr>
      <w:r w:rsidRPr="00360FE6">
        <w:rPr>
          <w:i/>
          <w:lang w:eastAsia="en-GB"/>
        </w:rPr>
        <w:t>Language</w:t>
      </w:r>
      <w:r>
        <w:rPr>
          <w:lang w:eastAsia="en-GB"/>
        </w:rPr>
        <w:t xml:space="preserve">. The Special Rapporteur believes that the language used to consider Palestinian grievances relating to </w:t>
      </w:r>
      <w:r w:rsidR="00BB5817">
        <w:rPr>
          <w:lang w:eastAsia="en-GB"/>
        </w:rPr>
        <w:t>international humanitarian law</w:t>
      </w:r>
      <w:r>
        <w:rPr>
          <w:lang w:eastAsia="en-GB"/>
        </w:rPr>
        <w:t xml:space="preserve"> and international human rights law in </w:t>
      </w:r>
      <w:smartTag w:uri="urn:schemas-microsoft-com:office:smarttags" w:element="place">
        <w:smartTag w:uri="urn:schemas-microsoft-com:office:smarttags" w:element="City">
          <w:r>
            <w:rPr>
              <w:lang w:eastAsia="en-GB"/>
            </w:rPr>
            <w:t>Palestine</w:t>
          </w:r>
        </w:smartTag>
      </w:smartTag>
      <w:r>
        <w:rPr>
          <w:lang w:eastAsia="en-GB"/>
        </w:rPr>
        <w:t xml:space="preserve"> needs to reflect everyday realities, and not remain beholden to technical wording and euphemisms that mask human suffering resulting from violations. It seems therefore appropriate to describe such unlawful impositions on the people resident in the </w:t>
      </w:r>
      <w:smartTag w:uri="urn:schemas-microsoft-com:office:smarttags" w:element="place">
        <w:r>
          <w:rPr>
            <w:lang w:eastAsia="en-GB"/>
          </w:rPr>
          <w:t>West Bank</w:t>
        </w:r>
      </w:smartTag>
      <w:r>
        <w:rPr>
          <w:lang w:eastAsia="en-GB"/>
        </w:rPr>
        <w:t xml:space="preserve"> by reference to </w:t>
      </w:r>
      <w:r w:rsidR="003F0BE0">
        <w:rPr>
          <w:lang w:eastAsia="en-GB"/>
        </w:rPr>
        <w:t>“</w:t>
      </w:r>
      <w:r>
        <w:rPr>
          <w:lang w:eastAsia="en-GB"/>
        </w:rPr>
        <w:t>annexation</w:t>
      </w:r>
      <w:r w:rsidR="003F0BE0">
        <w:rPr>
          <w:lang w:eastAsia="en-GB"/>
        </w:rPr>
        <w:t>”</w:t>
      </w:r>
      <w:r>
        <w:rPr>
          <w:lang w:eastAsia="en-GB"/>
        </w:rPr>
        <w:t xml:space="preserve"> and </w:t>
      </w:r>
      <w:r w:rsidR="003F0BE0">
        <w:rPr>
          <w:lang w:eastAsia="en-GB"/>
        </w:rPr>
        <w:t>“</w:t>
      </w:r>
      <w:r>
        <w:rPr>
          <w:lang w:eastAsia="en-GB"/>
        </w:rPr>
        <w:t>colonial ambitions</w:t>
      </w:r>
      <w:r w:rsidR="003F0BE0">
        <w:rPr>
          <w:lang w:eastAsia="en-GB"/>
        </w:rPr>
        <w:t>”</w:t>
      </w:r>
      <w:r>
        <w:rPr>
          <w:lang w:eastAsia="en-GB"/>
        </w:rPr>
        <w:t xml:space="preserve"> rather than </w:t>
      </w:r>
      <w:r w:rsidR="003F0BE0">
        <w:rPr>
          <w:lang w:eastAsia="en-GB"/>
        </w:rPr>
        <w:t>“</w:t>
      </w:r>
      <w:r>
        <w:rPr>
          <w:lang w:eastAsia="en-GB"/>
        </w:rPr>
        <w:t>occupation</w:t>
      </w:r>
      <w:r w:rsidR="003F0BE0">
        <w:rPr>
          <w:lang w:eastAsia="en-GB"/>
        </w:rPr>
        <w:t>”</w:t>
      </w:r>
      <w:r>
        <w:rPr>
          <w:lang w:eastAsia="en-GB"/>
        </w:rPr>
        <w:t xml:space="preserve">. Whether these impositions constitute </w:t>
      </w:r>
      <w:r w:rsidR="003F0BE0">
        <w:rPr>
          <w:lang w:eastAsia="en-GB"/>
        </w:rPr>
        <w:t>“</w:t>
      </w:r>
      <w:r>
        <w:rPr>
          <w:lang w:eastAsia="en-GB"/>
        </w:rPr>
        <w:t>apartheid</w:t>
      </w:r>
      <w:r w:rsidR="003F0BE0">
        <w:rPr>
          <w:lang w:eastAsia="en-GB"/>
        </w:rPr>
        <w:t>”</w:t>
      </w:r>
      <w:r>
        <w:rPr>
          <w:lang w:eastAsia="en-GB"/>
        </w:rPr>
        <w:t xml:space="preserve"> is discussed in more detail </w:t>
      </w:r>
      <w:r w:rsidR="006C3D23">
        <w:rPr>
          <w:lang w:eastAsia="en-GB"/>
        </w:rPr>
        <w:t>below</w:t>
      </w:r>
      <w:r>
        <w:rPr>
          <w:lang w:eastAsia="en-GB"/>
        </w:rPr>
        <w:t>. Such clarifications at the level of language reinforce the contention that it is a matter of urgency to pursue more concerted efforts within United Nations venues to implement the rights of the Palestinian people.</w:t>
      </w:r>
    </w:p>
    <w:p w:rsidR="00C05D53" w:rsidRPr="002C10B2" w:rsidRDefault="00C05D53" w:rsidP="00610662">
      <w:pPr>
        <w:pStyle w:val="SingleTxtG"/>
        <w:numPr>
          <w:ilvl w:val="0"/>
          <w:numId w:val="10"/>
        </w:numPr>
        <w:ind w:left="1134" w:firstLine="0"/>
        <w:rPr>
          <w:lang w:eastAsia="en-GB"/>
        </w:rPr>
      </w:pPr>
      <w:r w:rsidRPr="00360FE6">
        <w:rPr>
          <w:i/>
          <w:lang w:eastAsia="en-GB"/>
        </w:rPr>
        <w:t xml:space="preserve">Emergency in </w:t>
      </w:r>
      <w:smartTag w:uri="urn:schemas-microsoft-com:office:smarttags" w:element="City">
        <w:smartTag w:uri="urn:schemas-microsoft-com:office:smarttags" w:element="place">
          <w:r w:rsidRPr="00360FE6">
            <w:rPr>
              <w:i/>
              <w:lang w:eastAsia="en-GB"/>
            </w:rPr>
            <w:t>Gaza</w:t>
          </w:r>
        </w:smartTag>
      </w:smartTag>
      <w:r>
        <w:rPr>
          <w:lang w:eastAsia="en-GB"/>
        </w:rPr>
        <w:t>. Developments in the region</w:t>
      </w:r>
      <w:r w:rsidR="00C0486B">
        <w:rPr>
          <w:lang w:eastAsia="en-GB"/>
        </w:rPr>
        <w:t>,</w:t>
      </w:r>
      <w:r>
        <w:rPr>
          <w:lang w:eastAsia="en-GB"/>
        </w:rPr>
        <w:t xml:space="preserve"> combined with an unlawful blockade maintained since mid</w:t>
      </w:r>
      <w:r w:rsidR="00AF672A">
        <w:rPr>
          <w:lang w:eastAsia="en-GB"/>
        </w:rPr>
        <w:noBreakHyphen/>
      </w:r>
      <w:r>
        <w:rPr>
          <w:lang w:eastAsia="en-GB"/>
        </w:rPr>
        <w:t xml:space="preserve">2007, has created a serious emergency situation in the Gaza Strip that threatens the entire population. From the perspective of international law, as argued in prior reports (A/HRC/20/32), </w:t>
      </w:r>
      <w:smartTag w:uri="urn:schemas-microsoft-com:office:smarttags" w:element="City">
        <w:r>
          <w:rPr>
            <w:lang w:eastAsia="en-GB"/>
          </w:rPr>
          <w:t>Gaza</w:t>
        </w:r>
      </w:smartTag>
      <w:r>
        <w:rPr>
          <w:lang w:eastAsia="en-GB"/>
        </w:rPr>
        <w:t xml:space="preserve"> remains </w:t>
      </w:r>
      <w:r w:rsidR="003F0BE0">
        <w:rPr>
          <w:lang w:eastAsia="en-GB"/>
        </w:rPr>
        <w:t>“</w:t>
      </w:r>
      <w:r>
        <w:rPr>
          <w:lang w:eastAsia="en-GB"/>
        </w:rPr>
        <w:t>occupied</w:t>
      </w:r>
      <w:r w:rsidR="003F0BE0">
        <w:rPr>
          <w:lang w:eastAsia="en-GB"/>
        </w:rPr>
        <w:t>”</w:t>
      </w:r>
      <w:r w:rsidR="00C0486B">
        <w:rPr>
          <w:lang w:eastAsia="en-GB"/>
        </w:rPr>
        <w:t>,</w:t>
      </w:r>
      <w:r>
        <w:rPr>
          <w:lang w:eastAsia="en-GB"/>
        </w:rPr>
        <w:t xml:space="preserve"> despite </w:t>
      </w:r>
      <w:r w:rsidR="00C0486B">
        <w:rPr>
          <w:lang w:eastAsia="en-GB"/>
        </w:rPr>
        <w:t xml:space="preserve">the </w:t>
      </w:r>
      <w:r>
        <w:rPr>
          <w:lang w:eastAsia="en-GB"/>
        </w:rPr>
        <w:t xml:space="preserve">implementation </w:t>
      </w:r>
      <w:r w:rsidR="00C0486B">
        <w:rPr>
          <w:lang w:eastAsia="en-GB"/>
        </w:rPr>
        <w:t xml:space="preserve">by </w:t>
      </w:r>
      <w:smartTag w:uri="urn:schemas-microsoft-com:office:smarttags" w:element="country-region">
        <w:smartTag w:uri="urn:schemas-microsoft-com:office:smarttags" w:element="place">
          <w:r w:rsidR="00C0486B">
            <w:rPr>
              <w:lang w:eastAsia="en-GB"/>
            </w:rPr>
            <w:t>Israel</w:t>
          </w:r>
        </w:smartTag>
      </w:smartTag>
      <w:r w:rsidR="00C0486B">
        <w:rPr>
          <w:lang w:eastAsia="en-GB"/>
        </w:rPr>
        <w:t xml:space="preserve"> </w:t>
      </w:r>
      <w:r>
        <w:rPr>
          <w:lang w:eastAsia="en-GB"/>
        </w:rPr>
        <w:t xml:space="preserve">of its </w:t>
      </w:r>
      <w:r w:rsidR="003F0BE0">
        <w:rPr>
          <w:lang w:eastAsia="en-GB"/>
        </w:rPr>
        <w:t>“</w:t>
      </w:r>
      <w:r>
        <w:rPr>
          <w:lang w:eastAsia="en-GB"/>
        </w:rPr>
        <w:t>disengagement</w:t>
      </w:r>
      <w:r w:rsidR="003F0BE0">
        <w:rPr>
          <w:lang w:eastAsia="en-GB"/>
        </w:rPr>
        <w:t>”</w:t>
      </w:r>
      <w:r>
        <w:rPr>
          <w:lang w:eastAsia="en-GB"/>
        </w:rPr>
        <w:t xml:space="preserve"> plan in 2005, due to </w:t>
      </w:r>
      <w:r w:rsidR="00C0486B">
        <w:rPr>
          <w:lang w:eastAsia="en-GB"/>
        </w:rPr>
        <w:t xml:space="preserve">the </w:t>
      </w:r>
      <w:r>
        <w:rPr>
          <w:lang w:eastAsia="en-GB"/>
        </w:rPr>
        <w:t xml:space="preserve">control of borders, airspace and coastal waters, </w:t>
      </w:r>
      <w:r w:rsidR="006C3D23">
        <w:rPr>
          <w:lang w:eastAsia="en-GB"/>
        </w:rPr>
        <w:t>and</w:t>
      </w:r>
      <w:r>
        <w:rPr>
          <w:lang w:eastAsia="en-GB"/>
        </w:rPr>
        <w:t xml:space="preserve"> periodic military incursions. </w:t>
      </w:r>
      <w:r w:rsidR="006C3D23">
        <w:rPr>
          <w:lang w:eastAsia="en-GB"/>
        </w:rPr>
        <w:t>T</w:t>
      </w:r>
      <w:r>
        <w:rPr>
          <w:lang w:eastAsia="en-GB"/>
        </w:rPr>
        <w:t>he present situation is dire</w:t>
      </w:r>
      <w:r w:rsidR="00C0486B">
        <w:rPr>
          <w:lang w:eastAsia="en-GB"/>
        </w:rPr>
        <w:t>,</w:t>
      </w:r>
      <w:r>
        <w:rPr>
          <w:lang w:eastAsia="en-GB"/>
        </w:rPr>
        <w:t xml:space="preserve"> as massive infrastructural failures cause daily hardship for the population, who are also at risk of epidemics. At the time of writing, with insufficient quantities of fuel reaching </w:t>
      </w:r>
      <w:smartTag w:uri="urn:schemas-microsoft-com:office:smarttags" w:element="City">
        <w:smartTag w:uri="urn:schemas-microsoft-com:office:smarttags" w:element="place">
          <w:r>
            <w:rPr>
              <w:lang w:eastAsia="en-GB"/>
            </w:rPr>
            <w:t>Gaza</w:t>
          </w:r>
        </w:smartTag>
      </w:smartTag>
      <w:r>
        <w:rPr>
          <w:lang w:eastAsia="en-GB"/>
        </w:rPr>
        <w:t xml:space="preserve">, electricity is available only </w:t>
      </w:r>
      <w:r w:rsidR="00C0486B">
        <w:rPr>
          <w:lang w:eastAsia="en-GB"/>
        </w:rPr>
        <w:t xml:space="preserve">for </w:t>
      </w:r>
      <w:r>
        <w:rPr>
          <w:lang w:eastAsia="en-GB"/>
        </w:rPr>
        <w:t xml:space="preserve">short periods, making it impossible for hospitals to provide proper treatment for seriously ill patients suffering from cancer and kidney ailments. The situation is aggravated by persisting tensions between the Palestinian Authority and the governing authorities in </w:t>
      </w:r>
      <w:smartTag w:uri="urn:schemas-microsoft-com:office:smarttags" w:element="City">
        <w:r>
          <w:rPr>
            <w:lang w:eastAsia="en-GB"/>
          </w:rPr>
          <w:t>Gaza</w:t>
        </w:r>
      </w:smartTag>
      <w:r>
        <w:rPr>
          <w:lang w:eastAsia="en-GB"/>
        </w:rPr>
        <w:t xml:space="preserve">, and by the breakdown of cooperation along the border with </w:t>
      </w:r>
      <w:smartTag w:uri="urn:schemas-microsoft-com:office:smarttags" w:element="country-region">
        <w:smartTag w:uri="urn:schemas-microsoft-com:office:smarttags" w:element="place">
          <w:r>
            <w:rPr>
              <w:lang w:eastAsia="en-GB"/>
            </w:rPr>
            <w:t>Egypt</w:t>
          </w:r>
        </w:smartTag>
      </w:smartTag>
      <w:r>
        <w:rPr>
          <w:lang w:eastAsia="en-GB"/>
        </w:rPr>
        <w:t xml:space="preserve">. Egyptian security concerns in Sinai have led to greater restrictions at the Rafah </w:t>
      </w:r>
      <w:r w:rsidR="00C0486B">
        <w:rPr>
          <w:lang w:eastAsia="en-GB"/>
        </w:rPr>
        <w:t>c</w:t>
      </w:r>
      <w:r>
        <w:rPr>
          <w:lang w:eastAsia="en-GB"/>
        </w:rPr>
        <w:t xml:space="preserve">rossing, </w:t>
      </w:r>
      <w:r w:rsidR="006C3D23">
        <w:rPr>
          <w:lang w:eastAsia="en-GB"/>
        </w:rPr>
        <w:t>and</w:t>
      </w:r>
      <w:r>
        <w:rPr>
          <w:lang w:eastAsia="en-GB"/>
        </w:rPr>
        <w:t xml:space="preserve"> to the destruction of the tunnel complex in southern </w:t>
      </w:r>
      <w:smartTag w:uri="urn:schemas-microsoft-com:office:smarttags" w:element="City">
        <w:smartTag w:uri="urn:schemas-microsoft-com:office:smarttags" w:element="place">
          <w:r>
            <w:rPr>
              <w:lang w:eastAsia="en-GB"/>
            </w:rPr>
            <w:t>Gaza</w:t>
          </w:r>
        </w:smartTag>
      </w:smartTag>
      <w:r>
        <w:rPr>
          <w:lang w:eastAsia="en-GB"/>
        </w:rPr>
        <w:t xml:space="preserve"> that had eased some </w:t>
      </w:r>
      <w:r>
        <w:rPr>
          <w:lang w:eastAsia="en-GB"/>
        </w:rPr>
        <w:lastRenderedPageBreak/>
        <w:t>of the difficulties caused by the blockade</w:t>
      </w:r>
      <w:r w:rsidR="00610662">
        <w:rPr>
          <w:lang w:eastAsia="en-GB"/>
        </w:rPr>
        <w:t xml:space="preserve">. </w:t>
      </w:r>
      <w:r>
        <w:rPr>
          <w:lang w:eastAsia="en-GB"/>
        </w:rPr>
        <w:t xml:space="preserve">Some countries, notably </w:t>
      </w:r>
      <w:smartTag w:uri="urn:schemas-microsoft-com:office:smarttags" w:element="country-region">
        <w:r>
          <w:rPr>
            <w:lang w:eastAsia="en-GB"/>
          </w:rPr>
          <w:t>Turkey</w:t>
        </w:r>
      </w:smartTag>
      <w:r>
        <w:rPr>
          <w:lang w:eastAsia="en-GB"/>
        </w:rPr>
        <w:t xml:space="preserve"> and </w:t>
      </w:r>
      <w:smartTag w:uri="urn:schemas-microsoft-com:office:smarttags" w:element="country-region">
        <w:r>
          <w:rPr>
            <w:lang w:eastAsia="en-GB"/>
          </w:rPr>
          <w:t>Qatar</w:t>
        </w:r>
      </w:smartTag>
      <w:r>
        <w:rPr>
          <w:lang w:eastAsia="en-GB"/>
        </w:rPr>
        <w:t xml:space="preserve">, have responded to this situation by providing emergency relief, but much more assistance is required, including pressure upon </w:t>
      </w:r>
      <w:smartTag w:uri="urn:schemas-microsoft-com:office:smarttags" w:element="place">
        <w:smartTag w:uri="urn:schemas-microsoft-com:office:smarttags" w:element="country-region">
          <w:r>
            <w:rPr>
              <w:lang w:eastAsia="en-GB"/>
            </w:rPr>
            <w:t>Israel</w:t>
          </w:r>
        </w:smartTag>
      </w:smartTag>
      <w:r>
        <w:rPr>
          <w:lang w:eastAsia="en-GB"/>
        </w:rPr>
        <w:t xml:space="preserve"> to end the unlawful blockade.</w:t>
      </w:r>
    </w:p>
    <w:p w:rsidR="00AF672A" w:rsidRPr="002C10B2" w:rsidRDefault="00C05D53" w:rsidP="003F0BE0">
      <w:pPr>
        <w:pStyle w:val="SingleTxtG"/>
        <w:numPr>
          <w:ilvl w:val="0"/>
          <w:numId w:val="10"/>
        </w:numPr>
        <w:ind w:left="1134" w:firstLine="0"/>
        <w:rPr>
          <w:lang w:eastAsia="en-GB"/>
        </w:rPr>
      </w:pPr>
      <w:r w:rsidRPr="00360FE6">
        <w:rPr>
          <w:i/>
          <w:lang w:eastAsia="en-GB"/>
        </w:rPr>
        <w:t>Urgency</w:t>
      </w:r>
      <w:r>
        <w:rPr>
          <w:lang w:eastAsia="en-GB"/>
        </w:rPr>
        <w:t xml:space="preserve">. The stark reality is that the beleaguered occupied people of </w:t>
      </w:r>
      <w:smartTag w:uri="urn:schemas-microsoft-com:office:smarttags" w:element="place">
        <w:smartTag w:uri="urn:schemas-microsoft-com:office:smarttags" w:element="City">
          <w:r>
            <w:rPr>
              <w:lang w:eastAsia="en-GB"/>
            </w:rPr>
            <w:t>Gaza</w:t>
          </w:r>
        </w:smartTag>
      </w:smartTag>
      <w:r>
        <w:rPr>
          <w:lang w:eastAsia="en-GB"/>
        </w:rPr>
        <w:t xml:space="preserve">, over half of whom are children, are not receiving the protection to which they are entitled under </w:t>
      </w:r>
      <w:r w:rsidR="00BB5817">
        <w:rPr>
          <w:lang w:eastAsia="en-GB"/>
        </w:rPr>
        <w:t>international humanitarian law</w:t>
      </w:r>
      <w:r>
        <w:rPr>
          <w:lang w:eastAsia="en-GB"/>
        </w:rPr>
        <w:t>, which imposes an overall duty on the occupying Power to act in such a manner as to protect the civilian population from harm.</w:t>
      </w:r>
      <w:r w:rsidRPr="002C10B2">
        <w:rPr>
          <w:lang w:eastAsia="en-GB"/>
        </w:rPr>
        <w:t xml:space="preserve"> </w:t>
      </w:r>
      <w:r>
        <w:rPr>
          <w:lang w:eastAsia="en-GB"/>
        </w:rPr>
        <w:t xml:space="preserve">Given the failure of </w:t>
      </w:r>
      <w:smartTag w:uri="urn:schemas-microsoft-com:office:smarttags" w:element="place">
        <w:smartTag w:uri="urn:schemas-microsoft-com:office:smarttags" w:element="country-region">
          <w:r>
            <w:rPr>
              <w:lang w:eastAsia="en-GB"/>
            </w:rPr>
            <w:t>Israel</w:t>
          </w:r>
        </w:smartTag>
      </w:smartTag>
      <w:r>
        <w:rPr>
          <w:lang w:eastAsia="en-GB"/>
        </w:rPr>
        <w:t xml:space="preserve"> to live up to these obligations as set forth in the Fourth Geneva Convention, the United Nations and international society generally is challenged to take urgent action. The principles embedded in the concept </w:t>
      </w:r>
      <w:r w:rsidR="002A3CB2">
        <w:rPr>
          <w:lang w:eastAsia="en-GB"/>
        </w:rPr>
        <w:t xml:space="preserve">of </w:t>
      </w:r>
      <w:r>
        <w:rPr>
          <w:lang w:eastAsia="en-GB"/>
        </w:rPr>
        <w:t xml:space="preserve">the responsibility to protect would seem to have a special applicability to the emergency conditions currently existing in Gaza that </w:t>
      </w:r>
      <w:r w:rsidR="002A3CB2">
        <w:rPr>
          <w:lang w:eastAsia="en-GB"/>
        </w:rPr>
        <w:t xml:space="preserve">are </w:t>
      </w:r>
      <w:r>
        <w:rPr>
          <w:lang w:eastAsia="en-GB"/>
        </w:rPr>
        <w:t>being brought to the attention of the world by graphic pictures of sewage in the streets</w:t>
      </w:r>
      <w:r w:rsidR="002A3CB2">
        <w:rPr>
          <w:lang w:eastAsia="en-GB"/>
        </w:rPr>
        <w:t>;</w:t>
      </w:r>
      <w:r>
        <w:rPr>
          <w:lang w:eastAsia="en-GB"/>
        </w:rPr>
        <w:t xml:space="preserve"> widespread flooding</w:t>
      </w:r>
      <w:r w:rsidR="002A3CB2">
        <w:rPr>
          <w:lang w:eastAsia="en-GB"/>
        </w:rPr>
        <w:t>;</w:t>
      </w:r>
      <w:r>
        <w:rPr>
          <w:lang w:eastAsia="en-GB"/>
        </w:rPr>
        <w:t xml:space="preserve"> seasonal cold</w:t>
      </w:r>
      <w:r w:rsidR="002A3CB2">
        <w:rPr>
          <w:lang w:eastAsia="en-GB"/>
        </w:rPr>
        <w:t>,</w:t>
      </w:r>
      <w:r>
        <w:rPr>
          <w:lang w:eastAsia="en-GB"/>
        </w:rPr>
        <w:t xml:space="preserve"> including snow</w:t>
      </w:r>
      <w:r w:rsidR="002A3CB2">
        <w:rPr>
          <w:lang w:eastAsia="en-GB"/>
        </w:rPr>
        <w:t>;</w:t>
      </w:r>
      <w:r>
        <w:rPr>
          <w:lang w:eastAsia="en-GB"/>
        </w:rPr>
        <w:t xml:space="preserve"> and children entrapped by these conditions. </w:t>
      </w:r>
    </w:p>
    <w:p w:rsidR="00C05D53" w:rsidRPr="007F5C54" w:rsidRDefault="00AF672A" w:rsidP="00360FE6">
      <w:pPr>
        <w:pStyle w:val="HChG"/>
      </w:pPr>
      <w:r>
        <w:tab/>
      </w:r>
      <w:r w:rsidR="00CE0C88">
        <w:t>I</w:t>
      </w:r>
      <w:r>
        <w:t>I.</w:t>
      </w:r>
      <w:r>
        <w:tab/>
      </w:r>
      <w:r w:rsidR="00C05D53" w:rsidRPr="007F5C54">
        <w:t xml:space="preserve">The wall and the 2004 </w:t>
      </w:r>
      <w:r w:rsidR="002A3CB2">
        <w:t>a</w:t>
      </w:r>
      <w:r w:rsidR="00C05D53" w:rsidRPr="007F5C54">
        <w:t xml:space="preserve">dvisory </w:t>
      </w:r>
      <w:r w:rsidR="002A3CB2">
        <w:t>o</w:t>
      </w:r>
      <w:r w:rsidR="00C05D53" w:rsidRPr="007F5C54">
        <w:t>pinion</w:t>
      </w:r>
    </w:p>
    <w:p w:rsidR="00C05D53" w:rsidRPr="0003316C" w:rsidRDefault="00C05D53" w:rsidP="00CE0C88">
      <w:pPr>
        <w:pStyle w:val="SingleTxtG"/>
        <w:numPr>
          <w:ilvl w:val="0"/>
          <w:numId w:val="10"/>
        </w:numPr>
        <w:ind w:left="1134" w:firstLine="0"/>
        <w:rPr>
          <w:lang w:eastAsia="en-GB"/>
        </w:rPr>
      </w:pPr>
      <w:r w:rsidRPr="0003316C">
        <w:rPr>
          <w:lang w:eastAsia="en-GB"/>
        </w:rPr>
        <w:t>July 2014 will mark 10</w:t>
      </w:r>
      <w:r w:rsidR="00AF672A">
        <w:rPr>
          <w:lang w:eastAsia="en-GB"/>
        </w:rPr>
        <w:t> </w:t>
      </w:r>
      <w:r w:rsidRPr="0003316C">
        <w:rPr>
          <w:lang w:eastAsia="en-GB"/>
        </w:rPr>
        <w:t xml:space="preserve">years since the </w:t>
      </w:r>
      <w:r w:rsidR="002A3CB2">
        <w:rPr>
          <w:lang w:eastAsia="en-GB"/>
        </w:rPr>
        <w:t>International Court of Justice</w:t>
      </w:r>
      <w:r w:rsidR="002A3CB2" w:rsidRPr="0003316C">
        <w:rPr>
          <w:lang w:eastAsia="en-GB"/>
        </w:rPr>
        <w:t xml:space="preserve"> </w:t>
      </w:r>
      <w:r w:rsidRPr="0003316C">
        <w:rPr>
          <w:lang w:eastAsia="en-GB"/>
        </w:rPr>
        <w:t xml:space="preserve">gave its </w:t>
      </w:r>
      <w:r>
        <w:rPr>
          <w:lang w:eastAsia="en-GB"/>
        </w:rPr>
        <w:t>near unanimous a</w:t>
      </w:r>
      <w:r w:rsidRPr="0003316C">
        <w:rPr>
          <w:lang w:eastAsia="en-GB"/>
        </w:rPr>
        <w:t xml:space="preserve">dvisory opinion on the </w:t>
      </w:r>
      <w:r w:rsidR="002A3CB2">
        <w:rPr>
          <w:lang w:eastAsia="en-GB"/>
        </w:rPr>
        <w:t>l</w:t>
      </w:r>
      <w:r w:rsidRPr="0003316C">
        <w:rPr>
          <w:lang w:eastAsia="en-GB"/>
        </w:rPr>
        <w:t xml:space="preserve">egal </w:t>
      </w:r>
      <w:r w:rsidR="002A3CB2">
        <w:rPr>
          <w:lang w:eastAsia="en-GB"/>
        </w:rPr>
        <w:t>c</w:t>
      </w:r>
      <w:r w:rsidRPr="0003316C">
        <w:rPr>
          <w:lang w:eastAsia="en-GB"/>
        </w:rPr>
        <w:t xml:space="preserve">onsequences of the </w:t>
      </w:r>
      <w:r w:rsidR="002A3CB2">
        <w:rPr>
          <w:lang w:eastAsia="en-GB"/>
        </w:rPr>
        <w:t>c</w:t>
      </w:r>
      <w:r w:rsidRPr="0003316C">
        <w:rPr>
          <w:lang w:eastAsia="en-GB"/>
        </w:rPr>
        <w:t xml:space="preserve">onstruction of a </w:t>
      </w:r>
      <w:r w:rsidR="002A3CB2">
        <w:rPr>
          <w:lang w:eastAsia="en-GB"/>
        </w:rPr>
        <w:t>w</w:t>
      </w:r>
      <w:r w:rsidRPr="0003316C">
        <w:rPr>
          <w:lang w:eastAsia="en-GB"/>
        </w:rPr>
        <w:t xml:space="preserve">all in the </w:t>
      </w:r>
      <w:smartTag w:uri="urn:schemas-microsoft-com:office:smarttags" w:element="place">
        <w:smartTag w:uri="urn:schemas-microsoft-com:office:smarttags" w:element="PlaceName">
          <w:r w:rsidRPr="0003316C">
            <w:rPr>
              <w:lang w:eastAsia="en-GB"/>
            </w:rPr>
            <w:t>Occupied</w:t>
          </w:r>
        </w:smartTag>
        <w:r w:rsidRPr="0003316C">
          <w:rPr>
            <w:lang w:eastAsia="en-GB"/>
          </w:rPr>
          <w:t xml:space="preserve"> </w:t>
        </w:r>
        <w:smartTag w:uri="urn:schemas-microsoft-com:office:smarttags" w:element="PlaceName">
          <w:r w:rsidRPr="0003316C">
            <w:rPr>
              <w:lang w:eastAsia="en-GB"/>
            </w:rPr>
            <w:t>Palestinian</w:t>
          </w:r>
        </w:smartTag>
        <w:r w:rsidRPr="0003316C">
          <w:rPr>
            <w:lang w:eastAsia="en-GB"/>
          </w:rPr>
          <w:t xml:space="preserve"> </w:t>
        </w:r>
        <w:smartTag w:uri="urn:schemas-microsoft-com:office:smarttags" w:element="PlaceType">
          <w:r w:rsidRPr="0003316C">
            <w:rPr>
              <w:lang w:eastAsia="en-GB"/>
            </w:rPr>
            <w:t>Territory</w:t>
          </w:r>
        </w:smartTag>
      </w:smartTag>
      <w:r w:rsidR="00C12189">
        <w:rPr>
          <w:lang w:eastAsia="en-GB"/>
        </w:rPr>
        <w:t xml:space="preserve"> (</w:t>
      </w:r>
      <w:r w:rsidR="00C12189">
        <w:t>A/ES-10/273 and Corr.1)</w:t>
      </w:r>
      <w:r w:rsidR="00CE0C88">
        <w:rPr>
          <w:lang w:eastAsia="en-GB"/>
        </w:rPr>
        <w:t>.</w:t>
      </w:r>
      <w:r w:rsidRPr="0003316C">
        <w:rPr>
          <w:lang w:eastAsia="en-GB"/>
        </w:rPr>
        <w:t xml:space="preserve"> </w:t>
      </w:r>
      <w:r w:rsidR="002A3CB2">
        <w:rPr>
          <w:lang w:eastAsia="en-GB"/>
        </w:rPr>
        <w:t xml:space="preserve">The refusal of </w:t>
      </w:r>
      <w:smartTag w:uri="urn:schemas-microsoft-com:office:smarttags" w:element="country-region">
        <w:smartTag w:uri="urn:schemas-microsoft-com:office:smarttags" w:element="place">
          <w:r>
            <w:rPr>
              <w:lang w:eastAsia="en-GB"/>
            </w:rPr>
            <w:t>Israel</w:t>
          </w:r>
        </w:smartTag>
      </w:smartTag>
      <w:r>
        <w:rPr>
          <w:lang w:eastAsia="en-GB"/>
        </w:rPr>
        <w:t xml:space="preserve"> to implement this assessment of international law by the highest judicial body in the United Nations is cause for </w:t>
      </w:r>
      <w:r w:rsidR="00FC0346">
        <w:rPr>
          <w:lang w:eastAsia="en-GB"/>
        </w:rPr>
        <w:t xml:space="preserve">serious </w:t>
      </w:r>
      <w:r>
        <w:rPr>
          <w:lang w:eastAsia="en-GB"/>
        </w:rPr>
        <w:t>concern.</w:t>
      </w:r>
    </w:p>
    <w:p w:rsidR="00C05D53" w:rsidRPr="0003316C" w:rsidRDefault="00C05D53" w:rsidP="00CE0C88">
      <w:pPr>
        <w:pStyle w:val="SingleTxtG"/>
        <w:numPr>
          <w:ilvl w:val="0"/>
          <w:numId w:val="10"/>
        </w:numPr>
        <w:ind w:left="1134" w:firstLine="0"/>
        <w:rPr>
          <w:lang w:eastAsia="en-GB"/>
        </w:rPr>
      </w:pPr>
      <w:r w:rsidRPr="0003316C">
        <w:rPr>
          <w:lang w:eastAsia="en-GB"/>
        </w:rPr>
        <w:t>The question put to the Court by the General Assembly bears repeating</w:t>
      </w:r>
      <w:r w:rsidR="00CE0C88">
        <w:rPr>
          <w:lang w:eastAsia="en-GB"/>
        </w:rPr>
        <w:t>:</w:t>
      </w:r>
      <w:r w:rsidRPr="0003316C">
        <w:rPr>
          <w:lang w:eastAsia="en-GB"/>
        </w:rPr>
        <w:t xml:space="preserve"> “What are the legal consequences arising from the construction of the wall being built by Israel, the occupying Power, in the Occupied Palestinian Territory, including in and around East Jerusalem, …, considering the rules and principles of international law, including the Fourth Geneva Convention of 1949, and relevant Security Council and General Assembly resolutions?”</w:t>
      </w:r>
      <w:r w:rsidR="00FC0346" w:rsidRPr="006B40EE">
        <w:rPr>
          <w:sz w:val="18"/>
          <w:vertAlign w:val="superscript"/>
          <w:lang w:eastAsia="en-GB"/>
        </w:rPr>
        <w:footnoteReference w:id="2"/>
      </w:r>
      <w:r w:rsidRPr="0003316C">
        <w:rPr>
          <w:lang w:eastAsia="en-GB"/>
        </w:rPr>
        <w:t xml:space="preserve"> The </w:t>
      </w:r>
      <w:r w:rsidR="00FC0346">
        <w:rPr>
          <w:lang w:eastAsia="en-GB"/>
        </w:rPr>
        <w:t>International Court of Justice</w:t>
      </w:r>
      <w:r w:rsidRPr="0003316C">
        <w:rPr>
          <w:lang w:eastAsia="en-GB"/>
        </w:rPr>
        <w:t xml:space="preserve"> was </w:t>
      </w:r>
      <w:r w:rsidRPr="00360FE6">
        <w:rPr>
          <w:lang w:eastAsia="en-GB"/>
        </w:rPr>
        <w:t>unequivocal</w:t>
      </w:r>
      <w:r w:rsidRPr="00FC0346">
        <w:rPr>
          <w:lang w:eastAsia="en-GB"/>
        </w:rPr>
        <w:t xml:space="preserve"> </w:t>
      </w:r>
      <w:r>
        <w:rPr>
          <w:lang w:eastAsia="en-GB"/>
        </w:rPr>
        <w:t>in</w:t>
      </w:r>
      <w:r w:rsidRPr="0003316C">
        <w:rPr>
          <w:lang w:eastAsia="en-GB"/>
        </w:rPr>
        <w:t xml:space="preserve"> its reply. In summary, it concluded that the construction of the wall in </w:t>
      </w:r>
      <w:r w:rsidRPr="00A05424">
        <w:rPr>
          <w:lang w:eastAsia="en-GB"/>
        </w:rPr>
        <w:t xml:space="preserve">occupied </w:t>
      </w:r>
      <w:smartTag w:uri="urn:schemas-microsoft-com:office:smarttags" w:element="City">
        <w:r>
          <w:rPr>
            <w:lang w:eastAsia="en-GB"/>
          </w:rPr>
          <w:t>Palestine</w:t>
        </w:r>
      </w:smartTag>
      <w:r w:rsidRPr="0003316C">
        <w:rPr>
          <w:lang w:eastAsia="en-GB"/>
        </w:rPr>
        <w:t xml:space="preserve">, including </w:t>
      </w:r>
      <w:smartTag w:uri="urn:schemas-microsoft-com:office:smarttags" w:element="place">
        <w:r w:rsidRPr="0003316C">
          <w:rPr>
            <w:lang w:eastAsia="en-GB"/>
          </w:rPr>
          <w:t>East Jerusalem</w:t>
        </w:r>
      </w:smartTag>
      <w:r w:rsidRPr="0003316C">
        <w:rPr>
          <w:lang w:eastAsia="en-GB"/>
        </w:rPr>
        <w:t xml:space="preserve">, and its associated regime, was contrary to international law. </w:t>
      </w:r>
      <w:r>
        <w:rPr>
          <w:lang w:eastAsia="en-GB"/>
        </w:rPr>
        <w:t xml:space="preserve">The crucial point </w:t>
      </w:r>
      <w:r w:rsidR="00FC0346">
        <w:rPr>
          <w:lang w:eastAsia="en-GB"/>
        </w:rPr>
        <w:t xml:space="preserve">is </w:t>
      </w:r>
      <w:r>
        <w:rPr>
          <w:lang w:eastAsia="en-GB"/>
        </w:rPr>
        <w:t xml:space="preserve">that it would not have been unlawful for </w:t>
      </w:r>
      <w:smartTag w:uri="urn:schemas-microsoft-com:office:smarttags" w:element="country-region">
        <w:smartTag w:uri="urn:schemas-microsoft-com:office:smarttags" w:element="place">
          <w:r>
            <w:rPr>
              <w:lang w:eastAsia="en-GB"/>
            </w:rPr>
            <w:t>Israel</w:t>
          </w:r>
        </w:smartTag>
      </w:smartTag>
      <w:r>
        <w:rPr>
          <w:lang w:eastAsia="en-GB"/>
        </w:rPr>
        <w:t xml:space="preserve"> to build a security wall on an established international border, but to encroach unilaterally on territory occupied in 1967 was a flagrant violation of international law. </w:t>
      </w:r>
      <w:r w:rsidRPr="0003316C">
        <w:rPr>
          <w:lang w:eastAsia="en-GB"/>
        </w:rPr>
        <w:t xml:space="preserve">The Court stated that </w:t>
      </w:r>
      <w:smartTag w:uri="urn:schemas-microsoft-com:office:smarttags" w:element="place">
        <w:smartTag w:uri="urn:schemas-microsoft-com:office:smarttags" w:element="country-region">
          <w:r w:rsidRPr="0003316C">
            <w:rPr>
              <w:lang w:eastAsia="en-GB"/>
            </w:rPr>
            <w:t>Israel</w:t>
          </w:r>
        </w:smartTag>
      </w:smartTag>
      <w:r w:rsidRPr="0003316C">
        <w:rPr>
          <w:lang w:eastAsia="en-GB"/>
        </w:rPr>
        <w:t xml:space="preserve"> </w:t>
      </w:r>
      <w:r>
        <w:rPr>
          <w:lang w:eastAsia="en-GB"/>
        </w:rPr>
        <w:t>had</w:t>
      </w:r>
      <w:r w:rsidRPr="0003316C">
        <w:rPr>
          <w:lang w:eastAsia="en-GB"/>
        </w:rPr>
        <w:t xml:space="preserve"> a continuing duty to comply with its international obligations in this regard. It found that </w:t>
      </w:r>
      <w:smartTag w:uri="urn:schemas-microsoft-com:office:smarttags" w:element="country-region">
        <w:r w:rsidRPr="0003316C">
          <w:rPr>
            <w:lang w:eastAsia="en-GB"/>
          </w:rPr>
          <w:t>Israel</w:t>
        </w:r>
      </w:smartTag>
      <w:r w:rsidRPr="0003316C">
        <w:rPr>
          <w:lang w:eastAsia="en-GB"/>
        </w:rPr>
        <w:t xml:space="preserve"> was obliged to end the illegal situation, cease construction and dismantle the wall in the </w:t>
      </w:r>
      <w:smartTag w:uri="urn:schemas-microsoft-com:office:smarttags" w:element="place">
        <w:smartTag w:uri="urn:schemas-microsoft-com:office:smarttags" w:element="PlaceName">
          <w:r w:rsidRPr="0003316C">
            <w:rPr>
              <w:lang w:eastAsia="en-GB"/>
            </w:rPr>
            <w:t>O</w:t>
          </w:r>
          <w:r w:rsidR="00FC0346">
            <w:rPr>
              <w:lang w:eastAsia="en-GB"/>
            </w:rPr>
            <w:t>ccupied</w:t>
          </w:r>
        </w:smartTag>
        <w:r w:rsidR="00FC0346">
          <w:rPr>
            <w:lang w:eastAsia="en-GB"/>
          </w:rPr>
          <w:t xml:space="preserve"> </w:t>
        </w:r>
        <w:smartTag w:uri="urn:schemas-microsoft-com:office:smarttags" w:element="PlaceName">
          <w:r w:rsidR="00FC0346">
            <w:rPr>
              <w:lang w:eastAsia="en-GB"/>
            </w:rPr>
            <w:t>Palestinian</w:t>
          </w:r>
        </w:smartTag>
        <w:r w:rsidR="00FC0346">
          <w:rPr>
            <w:lang w:eastAsia="en-GB"/>
          </w:rPr>
          <w:t xml:space="preserve"> </w:t>
        </w:r>
        <w:smartTag w:uri="urn:schemas-microsoft-com:office:smarttags" w:element="PlaceType">
          <w:r w:rsidR="00FC0346">
            <w:rPr>
              <w:lang w:eastAsia="en-GB"/>
            </w:rPr>
            <w:t>Territory</w:t>
          </w:r>
        </w:smartTag>
      </w:smartTag>
      <w:r w:rsidRPr="0003316C">
        <w:rPr>
          <w:lang w:eastAsia="en-GB"/>
        </w:rPr>
        <w:t>, and to make reparations for all damage caused as a result of the wall</w:t>
      </w:r>
      <w:r w:rsidR="00C12189">
        <w:rPr>
          <w:lang w:eastAsia="en-GB"/>
        </w:rPr>
        <w:t xml:space="preserve"> (</w:t>
      </w:r>
      <w:r w:rsidR="00C12189">
        <w:t>A/ES-10/273 and Corr.1, para. 145)</w:t>
      </w:r>
      <w:r w:rsidRPr="0003316C">
        <w:rPr>
          <w:lang w:eastAsia="en-GB"/>
        </w:rPr>
        <w:t xml:space="preserve">. </w:t>
      </w:r>
    </w:p>
    <w:p w:rsidR="00C05D53" w:rsidRPr="0003316C" w:rsidRDefault="00C05D53" w:rsidP="00CE0C88">
      <w:pPr>
        <w:pStyle w:val="SingleTxtG"/>
        <w:numPr>
          <w:ilvl w:val="0"/>
          <w:numId w:val="10"/>
        </w:numPr>
        <w:ind w:left="1134" w:firstLine="0"/>
        <w:rPr>
          <w:lang w:eastAsia="en-GB"/>
        </w:rPr>
      </w:pPr>
      <w:r w:rsidRPr="0003316C">
        <w:rPr>
          <w:lang w:eastAsia="en-GB"/>
        </w:rPr>
        <w:t xml:space="preserve">In addition to the conclusions addressing </w:t>
      </w:r>
      <w:r w:rsidR="009F1467">
        <w:rPr>
          <w:lang w:eastAsia="en-GB"/>
        </w:rPr>
        <w:t>the</w:t>
      </w:r>
      <w:r w:rsidRPr="0003316C">
        <w:rPr>
          <w:lang w:eastAsia="en-GB"/>
        </w:rPr>
        <w:t xml:space="preserve"> obligations</w:t>
      </w:r>
      <w:r w:rsidR="009F1467">
        <w:rPr>
          <w:lang w:eastAsia="en-GB"/>
        </w:rPr>
        <w:t xml:space="preserve"> of Israel</w:t>
      </w:r>
      <w:r w:rsidRPr="0003316C">
        <w:rPr>
          <w:lang w:eastAsia="en-GB"/>
        </w:rPr>
        <w:t>, the Court stated that all States are obliged not to recogni</w:t>
      </w:r>
      <w:r w:rsidR="00723F22">
        <w:rPr>
          <w:lang w:eastAsia="en-GB"/>
        </w:rPr>
        <w:t>z</w:t>
      </w:r>
      <w:r w:rsidRPr="0003316C">
        <w:rPr>
          <w:lang w:eastAsia="en-GB"/>
        </w:rPr>
        <w:t xml:space="preserve">e the illegal situation arising from the wall, and that States parties to the Fourth Geneva Convention were obliged to ensure compliance by Israel with that Convention. Finally, the Court </w:t>
      </w:r>
      <w:r>
        <w:rPr>
          <w:lang w:eastAsia="en-GB"/>
        </w:rPr>
        <w:t>suggested</w:t>
      </w:r>
      <w:r w:rsidRPr="0003316C">
        <w:rPr>
          <w:lang w:eastAsia="en-GB"/>
        </w:rPr>
        <w:t xml:space="preserve"> that the United Nations, and especially the General Assembly and the Security Council, should consider further action to </w:t>
      </w:r>
      <w:r>
        <w:rPr>
          <w:lang w:eastAsia="en-GB"/>
        </w:rPr>
        <w:t>overcome this</w:t>
      </w:r>
      <w:r w:rsidRPr="0003316C">
        <w:rPr>
          <w:lang w:eastAsia="en-GB"/>
        </w:rPr>
        <w:t xml:space="preserve"> illegal situation resulting from the construction of </w:t>
      </w:r>
      <w:r>
        <w:rPr>
          <w:lang w:eastAsia="en-GB"/>
        </w:rPr>
        <w:t>the wall and its associated re</w:t>
      </w:r>
      <w:r w:rsidRPr="0003316C">
        <w:rPr>
          <w:lang w:eastAsia="en-GB"/>
        </w:rPr>
        <w:t>gime</w:t>
      </w:r>
      <w:r w:rsidR="00383DA9" w:rsidRPr="00383DA9">
        <w:t xml:space="preserve"> </w:t>
      </w:r>
      <w:r w:rsidR="00383DA9">
        <w:t>(ibid.</w:t>
      </w:r>
      <w:r w:rsidR="00383DA9" w:rsidRPr="00996CFF">
        <w:t>, para</w:t>
      </w:r>
      <w:r w:rsidR="00383DA9" w:rsidRPr="00411345">
        <w:rPr>
          <w:lang w:val="es-ES"/>
        </w:rPr>
        <w:t>.</w:t>
      </w:r>
      <w:r w:rsidR="00383DA9">
        <w:rPr>
          <w:lang w:val="es-ES"/>
        </w:rPr>
        <w:t> </w:t>
      </w:r>
      <w:r w:rsidR="00383DA9" w:rsidRPr="00996CFF">
        <w:t>163 (3)</w:t>
      </w:r>
      <w:r w:rsidR="00383DA9">
        <w:t>(D) and (E))</w:t>
      </w:r>
      <w:r w:rsidR="00CE0C88">
        <w:rPr>
          <w:lang w:eastAsia="en-GB"/>
        </w:rPr>
        <w:t>.</w:t>
      </w:r>
      <w:r w:rsidRPr="0003316C">
        <w:rPr>
          <w:lang w:eastAsia="en-GB"/>
        </w:rPr>
        <w:t xml:space="preserve"> </w:t>
      </w:r>
    </w:p>
    <w:p w:rsidR="00C05D53" w:rsidRPr="0003316C" w:rsidRDefault="00C05D53" w:rsidP="00CE0C88">
      <w:pPr>
        <w:pStyle w:val="SingleTxtG"/>
        <w:numPr>
          <w:ilvl w:val="0"/>
          <w:numId w:val="10"/>
        </w:numPr>
        <w:ind w:left="1134" w:firstLine="0"/>
        <w:rPr>
          <w:lang w:eastAsia="en-GB"/>
        </w:rPr>
      </w:pPr>
      <w:r w:rsidRPr="0003316C">
        <w:rPr>
          <w:lang w:eastAsia="en-GB"/>
        </w:rPr>
        <w:t xml:space="preserve">In clear defiance of international law, </w:t>
      </w:r>
      <w:smartTag w:uri="urn:schemas-microsoft-com:office:smarttags" w:element="place">
        <w:smartTag w:uri="urn:schemas-microsoft-com:office:smarttags" w:element="country-region">
          <w:r w:rsidRPr="0003316C">
            <w:rPr>
              <w:lang w:eastAsia="en-GB"/>
            </w:rPr>
            <w:t>Israel</w:t>
          </w:r>
        </w:smartTag>
      </w:smartTag>
      <w:r w:rsidRPr="0003316C">
        <w:rPr>
          <w:lang w:eastAsia="en-GB"/>
        </w:rPr>
        <w:t xml:space="preserve"> has continued construction of the wall and maintains on its website a map of 30 April 2006 showing </w:t>
      </w:r>
      <w:r>
        <w:rPr>
          <w:lang w:eastAsia="en-GB"/>
        </w:rPr>
        <w:t>its</w:t>
      </w:r>
      <w:r w:rsidRPr="0003316C">
        <w:rPr>
          <w:lang w:eastAsia="en-GB"/>
        </w:rPr>
        <w:t xml:space="preserve"> revised route</w:t>
      </w:r>
      <w:r w:rsidR="00CE0C88">
        <w:rPr>
          <w:lang w:eastAsia="en-GB"/>
        </w:rPr>
        <w:t>.</w:t>
      </w:r>
      <w:r w:rsidRPr="006B40EE">
        <w:rPr>
          <w:sz w:val="18"/>
          <w:vertAlign w:val="superscript"/>
          <w:lang w:eastAsia="en-GB"/>
        </w:rPr>
        <w:footnoteReference w:id="3"/>
      </w:r>
      <w:r w:rsidRPr="0003316C">
        <w:rPr>
          <w:lang w:eastAsia="en-GB"/>
        </w:rPr>
        <w:t xml:space="preserve"> At the time </w:t>
      </w:r>
      <w:r w:rsidRPr="0003316C">
        <w:rPr>
          <w:lang w:eastAsia="en-GB"/>
        </w:rPr>
        <w:lastRenderedPageBreak/>
        <w:t>of the advisory opinion, the Secretary-General estimated that approximately 180</w:t>
      </w:r>
      <w:r w:rsidR="00CE0C88">
        <w:rPr>
          <w:lang w:eastAsia="en-GB"/>
        </w:rPr>
        <w:t> </w:t>
      </w:r>
      <w:r w:rsidRPr="0003316C">
        <w:rPr>
          <w:lang w:eastAsia="en-GB"/>
        </w:rPr>
        <w:t>km of the wall had been completed</w:t>
      </w:r>
      <w:r w:rsidR="00383DA9">
        <w:rPr>
          <w:lang w:eastAsia="en-GB"/>
        </w:rPr>
        <w:t xml:space="preserve"> (</w:t>
      </w:r>
      <w:r w:rsidR="00383DA9">
        <w:t>A/ES-10/273 and Corr.1, para. 82)</w:t>
      </w:r>
      <w:r w:rsidR="00CE0C88">
        <w:rPr>
          <w:lang w:eastAsia="en-GB"/>
        </w:rPr>
        <w:t>.</w:t>
      </w:r>
      <w:r w:rsidRPr="0003316C">
        <w:rPr>
          <w:lang w:eastAsia="en-GB"/>
        </w:rPr>
        <w:t xml:space="preserve"> Since that time, parts of the wall have been re-routed</w:t>
      </w:r>
      <w:r w:rsidR="00CE0C88">
        <w:rPr>
          <w:lang w:eastAsia="en-GB"/>
        </w:rPr>
        <w:t>.</w:t>
      </w:r>
      <w:r>
        <w:rPr>
          <w:rStyle w:val="FootnoteReference"/>
          <w:lang w:eastAsia="en-GB"/>
        </w:rPr>
        <w:footnoteReference w:id="4"/>
      </w:r>
      <w:r w:rsidRPr="0003316C">
        <w:rPr>
          <w:lang w:eastAsia="en-GB"/>
        </w:rPr>
        <w:t xml:space="preserve"> In 2013, the Secretary-General reported that approximately 62</w:t>
      </w:r>
      <w:r>
        <w:rPr>
          <w:lang w:eastAsia="en-GB"/>
        </w:rPr>
        <w:t xml:space="preserve"> per cent</w:t>
      </w:r>
      <w:r w:rsidRPr="0003316C">
        <w:rPr>
          <w:lang w:eastAsia="en-GB"/>
        </w:rPr>
        <w:t xml:space="preserve"> of the wall had been completed</w:t>
      </w:r>
      <w:r w:rsidR="00AF56AC">
        <w:rPr>
          <w:lang w:eastAsia="en-GB"/>
        </w:rPr>
        <w:t xml:space="preserve"> </w:t>
      </w:r>
      <w:r w:rsidR="00AF56AC" w:rsidRPr="0003316C">
        <w:rPr>
          <w:lang w:eastAsia="en-GB"/>
        </w:rPr>
        <w:t>(A/68/502</w:t>
      </w:r>
      <w:r w:rsidR="00C8570D">
        <w:rPr>
          <w:lang w:eastAsia="en-GB"/>
        </w:rPr>
        <w:t>, para. 22</w:t>
      </w:r>
      <w:r w:rsidR="00AF56AC" w:rsidRPr="0003316C">
        <w:rPr>
          <w:lang w:eastAsia="en-GB"/>
        </w:rPr>
        <w:t>)</w:t>
      </w:r>
      <w:r w:rsidRPr="0003316C">
        <w:rPr>
          <w:lang w:eastAsia="en-GB"/>
        </w:rPr>
        <w:t>. A further 10</w:t>
      </w:r>
      <w:r>
        <w:rPr>
          <w:lang w:eastAsia="en-GB"/>
        </w:rPr>
        <w:t xml:space="preserve"> per cent</w:t>
      </w:r>
      <w:r w:rsidRPr="0003316C">
        <w:rPr>
          <w:lang w:eastAsia="en-GB"/>
        </w:rPr>
        <w:t xml:space="preserve"> was under construction, and construction of the remaining 28</w:t>
      </w:r>
      <w:r w:rsidR="00C8570D">
        <w:rPr>
          <w:lang w:eastAsia="en-GB"/>
        </w:rPr>
        <w:t xml:space="preserve"> </w:t>
      </w:r>
      <w:r w:rsidR="00BB5817">
        <w:rPr>
          <w:lang w:eastAsia="en-GB"/>
        </w:rPr>
        <w:t>per cent</w:t>
      </w:r>
      <w:r w:rsidRPr="0003316C">
        <w:rPr>
          <w:lang w:eastAsia="en-GB"/>
        </w:rPr>
        <w:t xml:space="preserve"> of the planned route had not yet commenced. Upon completion, the wall is expected to run approximately 708</w:t>
      </w:r>
      <w:r w:rsidR="00AF672A">
        <w:rPr>
          <w:lang w:eastAsia="en-GB"/>
        </w:rPr>
        <w:t> </w:t>
      </w:r>
      <w:r w:rsidRPr="0003316C">
        <w:rPr>
          <w:lang w:eastAsia="en-GB"/>
        </w:rPr>
        <w:t>km.</w:t>
      </w:r>
    </w:p>
    <w:p w:rsidR="00C05D53" w:rsidRPr="0003316C" w:rsidRDefault="00C8570D" w:rsidP="00CE0C88">
      <w:pPr>
        <w:pStyle w:val="SingleTxtG"/>
        <w:numPr>
          <w:ilvl w:val="0"/>
          <w:numId w:val="10"/>
        </w:numPr>
        <w:ind w:left="1134" w:firstLine="0"/>
        <w:rPr>
          <w:lang w:eastAsia="en-GB"/>
        </w:rPr>
      </w:pPr>
      <w:r>
        <w:rPr>
          <w:lang w:eastAsia="en-GB"/>
        </w:rPr>
        <w:t xml:space="preserve">About </w:t>
      </w:r>
      <w:r w:rsidR="00C05D53" w:rsidRPr="0003316C">
        <w:rPr>
          <w:lang w:eastAsia="en-GB"/>
        </w:rPr>
        <w:t>85</w:t>
      </w:r>
      <w:r w:rsidR="00BB5817">
        <w:rPr>
          <w:lang w:eastAsia="en-GB"/>
        </w:rPr>
        <w:t xml:space="preserve"> per cent</w:t>
      </w:r>
      <w:r w:rsidR="00C05D53" w:rsidRPr="0003316C">
        <w:rPr>
          <w:lang w:eastAsia="en-GB"/>
        </w:rPr>
        <w:t xml:space="preserve"> of the planned route of the wall lies within the West Bank, and will </w:t>
      </w:r>
      <w:r w:rsidR="00C05D53">
        <w:rPr>
          <w:lang w:eastAsia="en-GB"/>
        </w:rPr>
        <w:t xml:space="preserve">cut off and </w:t>
      </w:r>
      <w:r w:rsidR="00C05D53" w:rsidRPr="0003316C">
        <w:rPr>
          <w:lang w:eastAsia="en-GB"/>
        </w:rPr>
        <w:t>isolate 9</w:t>
      </w:r>
      <w:r w:rsidR="00C05D53">
        <w:rPr>
          <w:lang w:eastAsia="en-GB"/>
        </w:rPr>
        <w:t>.</w:t>
      </w:r>
      <w:r w:rsidR="00C05D53" w:rsidRPr="0003316C">
        <w:rPr>
          <w:lang w:eastAsia="en-GB"/>
        </w:rPr>
        <w:t>4</w:t>
      </w:r>
      <w:r w:rsidR="00BB5817">
        <w:rPr>
          <w:lang w:eastAsia="en-GB"/>
        </w:rPr>
        <w:t xml:space="preserve"> per cent</w:t>
      </w:r>
      <w:r w:rsidR="00C05D53" w:rsidRPr="0003316C">
        <w:rPr>
          <w:lang w:eastAsia="en-GB"/>
        </w:rPr>
        <w:t xml:space="preserve"> of the West Bank territory, including East Jerusalem and so-called No-Man’s </w:t>
      </w:r>
      <w:r>
        <w:rPr>
          <w:lang w:eastAsia="en-GB"/>
        </w:rPr>
        <w:t>L</w:t>
      </w:r>
      <w:r w:rsidR="00C05D53" w:rsidRPr="0003316C">
        <w:rPr>
          <w:lang w:eastAsia="en-GB"/>
        </w:rPr>
        <w:t>and</w:t>
      </w:r>
      <w:r w:rsidR="00CE0C88">
        <w:rPr>
          <w:lang w:eastAsia="en-GB"/>
        </w:rPr>
        <w:t>.</w:t>
      </w:r>
      <w:r w:rsidR="00C05D53" w:rsidRPr="006B40EE">
        <w:rPr>
          <w:sz w:val="18"/>
          <w:vertAlign w:val="superscript"/>
          <w:lang w:eastAsia="en-GB"/>
        </w:rPr>
        <w:footnoteReference w:id="5"/>
      </w:r>
      <w:r w:rsidR="00C05D53" w:rsidRPr="006B40EE">
        <w:rPr>
          <w:lang w:eastAsia="en-GB"/>
        </w:rPr>
        <w:t xml:space="preserve"> </w:t>
      </w:r>
      <w:r w:rsidR="00C05D53" w:rsidRPr="0003316C">
        <w:rPr>
          <w:lang w:eastAsia="en-GB"/>
        </w:rPr>
        <w:t xml:space="preserve">Palestinian communities affected by the wall experience varying degrees of isolation and restrictions on their freedom of movement. </w:t>
      </w:r>
      <w:r w:rsidR="00C05D53" w:rsidRPr="00324A13">
        <w:rPr>
          <w:lang w:eastAsia="en-GB"/>
        </w:rPr>
        <w:t>The seam zone’s</w:t>
      </w:r>
      <w:r w:rsidR="00C05D53" w:rsidRPr="00324A13">
        <w:rPr>
          <w:rStyle w:val="FootnoteReference"/>
          <w:lang w:eastAsia="en-GB"/>
        </w:rPr>
        <w:footnoteReference w:id="6"/>
      </w:r>
      <w:r w:rsidR="00C05D53" w:rsidRPr="00324A13">
        <w:rPr>
          <w:lang w:eastAsia="en-GB"/>
        </w:rPr>
        <w:t xml:space="preserve"> associated permit regime</w:t>
      </w:r>
      <w:r w:rsidR="00324A13" w:rsidRPr="00324A13">
        <w:rPr>
          <w:lang w:eastAsia="en-GB"/>
        </w:rPr>
        <w:t xml:space="preserve"> </w:t>
      </w:r>
      <w:r w:rsidR="00C05D53" w:rsidRPr="00324A13">
        <w:rPr>
          <w:lang w:eastAsia="en-GB"/>
        </w:rPr>
        <w:t>requires</w:t>
      </w:r>
      <w:r w:rsidR="00C05D53">
        <w:rPr>
          <w:lang w:eastAsia="en-GB"/>
        </w:rPr>
        <w:t xml:space="preserve"> Palestinians to continually apply for temporary permits to allow them to reside in their home area and </w:t>
      </w:r>
      <w:r w:rsidR="00C05D53" w:rsidRPr="0003316C">
        <w:rPr>
          <w:lang w:eastAsia="en-GB"/>
        </w:rPr>
        <w:t xml:space="preserve">carry on aspects of their lives </w:t>
      </w:r>
      <w:r w:rsidR="00C05D53">
        <w:rPr>
          <w:lang w:eastAsia="en-GB"/>
        </w:rPr>
        <w:t xml:space="preserve">that </w:t>
      </w:r>
      <w:r w:rsidR="00C05D53" w:rsidRPr="0003316C">
        <w:rPr>
          <w:lang w:eastAsia="en-GB"/>
        </w:rPr>
        <w:t xml:space="preserve">require entering or exiting the seam zone. In order to </w:t>
      </w:r>
      <w:r>
        <w:rPr>
          <w:lang w:eastAsia="en-GB"/>
        </w:rPr>
        <w:t xml:space="preserve">have </w:t>
      </w:r>
      <w:r w:rsidR="00C05D53" w:rsidRPr="0003316C">
        <w:rPr>
          <w:lang w:eastAsia="en-GB"/>
        </w:rPr>
        <w:t xml:space="preserve">access </w:t>
      </w:r>
      <w:r>
        <w:rPr>
          <w:lang w:eastAsia="en-GB"/>
        </w:rPr>
        <w:t xml:space="preserve">to </w:t>
      </w:r>
      <w:r w:rsidR="00C05D53" w:rsidRPr="0003316C">
        <w:rPr>
          <w:lang w:eastAsia="en-GB"/>
        </w:rPr>
        <w:t>farming land beyond Israeli</w:t>
      </w:r>
      <w:r>
        <w:rPr>
          <w:lang w:eastAsia="en-GB"/>
        </w:rPr>
        <w:t>-</w:t>
      </w:r>
      <w:r w:rsidR="00C05D53" w:rsidRPr="0003316C">
        <w:rPr>
          <w:lang w:eastAsia="en-GB"/>
        </w:rPr>
        <w:t xml:space="preserve">controlled access gates, leave and return for work, </w:t>
      </w:r>
      <w:r>
        <w:rPr>
          <w:lang w:eastAsia="en-GB"/>
        </w:rPr>
        <w:t xml:space="preserve">have </w:t>
      </w:r>
      <w:r w:rsidR="00C05D53" w:rsidRPr="0003316C">
        <w:rPr>
          <w:lang w:eastAsia="en-GB"/>
        </w:rPr>
        <w:t>access</w:t>
      </w:r>
      <w:r>
        <w:rPr>
          <w:lang w:eastAsia="en-GB"/>
        </w:rPr>
        <w:t xml:space="preserve"> to</w:t>
      </w:r>
      <w:r w:rsidR="00C05D53" w:rsidRPr="0003316C">
        <w:rPr>
          <w:lang w:eastAsia="en-GB"/>
        </w:rPr>
        <w:t xml:space="preserve"> education, health and other services, visit family and friends or arrang</w:t>
      </w:r>
      <w:r w:rsidR="00C05D53">
        <w:rPr>
          <w:lang w:eastAsia="en-GB"/>
        </w:rPr>
        <w:t>e</w:t>
      </w:r>
      <w:r w:rsidR="00C05D53" w:rsidRPr="0003316C">
        <w:rPr>
          <w:lang w:eastAsia="en-GB"/>
        </w:rPr>
        <w:t xml:space="preserve"> for visits to those communities for non-resident Palestinians, </w:t>
      </w:r>
      <w:r w:rsidR="00C05D53">
        <w:rPr>
          <w:lang w:eastAsia="en-GB"/>
        </w:rPr>
        <w:t>prior</w:t>
      </w:r>
      <w:r w:rsidR="00C05D53" w:rsidRPr="0003316C">
        <w:rPr>
          <w:lang w:eastAsia="en-GB"/>
        </w:rPr>
        <w:t xml:space="preserve"> permission</w:t>
      </w:r>
      <w:r w:rsidR="00C05D53">
        <w:rPr>
          <w:lang w:eastAsia="en-GB"/>
        </w:rPr>
        <w:t xml:space="preserve"> by Israeli authorities is necessary</w:t>
      </w:r>
      <w:r w:rsidR="00C05D53" w:rsidRPr="0003316C">
        <w:rPr>
          <w:lang w:eastAsia="en-GB"/>
        </w:rPr>
        <w:t>. Th</w:t>
      </w:r>
      <w:r w:rsidR="00C05D53">
        <w:rPr>
          <w:lang w:eastAsia="en-GB"/>
        </w:rPr>
        <w:t>is permit procedure imposes</w:t>
      </w:r>
      <w:r w:rsidR="00C05D53" w:rsidRPr="0003316C">
        <w:rPr>
          <w:lang w:eastAsia="en-GB"/>
        </w:rPr>
        <w:t xml:space="preserve"> daily </w:t>
      </w:r>
      <w:r w:rsidR="00C05D53">
        <w:rPr>
          <w:lang w:eastAsia="en-GB"/>
        </w:rPr>
        <w:t>hardships on many Palestinian</w:t>
      </w:r>
      <w:r w:rsidR="0040494C">
        <w:rPr>
          <w:lang w:eastAsia="en-GB"/>
        </w:rPr>
        <w:t>s</w:t>
      </w:r>
      <w:r w:rsidR="00CE0C88">
        <w:rPr>
          <w:lang w:eastAsia="en-GB"/>
        </w:rPr>
        <w:t>.</w:t>
      </w:r>
      <w:r w:rsidR="00C05D53">
        <w:rPr>
          <w:rStyle w:val="FootnoteReference"/>
          <w:lang w:eastAsia="en-GB"/>
        </w:rPr>
        <w:footnoteReference w:id="7"/>
      </w:r>
    </w:p>
    <w:p w:rsidR="00C05D53" w:rsidRPr="0003316C" w:rsidRDefault="00C05D53" w:rsidP="00CE0C88">
      <w:pPr>
        <w:pStyle w:val="SingleTxtG"/>
        <w:numPr>
          <w:ilvl w:val="0"/>
          <w:numId w:val="10"/>
        </w:numPr>
        <w:ind w:left="1134" w:firstLine="0"/>
        <w:rPr>
          <w:lang w:eastAsia="en-GB"/>
        </w:rPr>
      </w:pPr>
      <w:r w:rsidRPr="0003316C">
        <w:rPr>
          <w:lang w:eastAsia="en-GB"/>
        </w:rPr>
        <w:t>The Ministry of Defen</w:t>
      </w:r>
      <w:r w:rsidR="00304F0C">
        <w:rPr>
          <w:lang w:eastAsia="en-GB"/>
        </w:rPr>
        <w:t>s</w:t>
      </w:r>
      <w:r w:rsidRPr="0003316C">
        <w:rPr>
          <w:lang w:eastAsia="en-GB"/>
        </w:rPr>
        <w:t>e states that “</w:t>
      </w:r>
      <w:r w:rsidR="00304F0C">
        <w:rPr>
          <w:lang w:eastAsia="en-GB"/>
        </w:rPr>
        <w:t>t</w:t>
      </w:r>
      <w:r w:rsidRPr="0003316C">
        <w:rPr>
          <w:lang w:eastAsia="en-GB"/>
        </w:rPr>
        <w:t>he Security Fence does not annex territories to the State of Israel, nor will it change the status of the residents of these areas</w:t>
      </w:r>
      <w:r w:rsidR="00CE0C88">
        <w:rPr>
          <w:lang w:eastAsia="en-GB"/>
        </w:rPr>
        <w:t>”</w:t>
      </w:r>
      <w:r w:rsidR="00304F0C">
        <w:rPr>
          <w:lang w:eastAsia="en-GB"/>
        </w:rPr>
        <w:t>.</w:t>
      </w:r>
      <w:r w:rsidRPr="006B40EE">
        <w:rPr>
          <w:sz w:val="18"/>
          <w:vertAlign w:val="superscript"/>
          <w:lang w:eastAsia="en-GB"/>
        </w:rPr>
        <w:footnoteReference w:id="8"/>
      </w:r>
      <w:r w:rsidRPr="0003316C">
        <w:rPr>
          <w:lang w:eastAsia="en-GB"/>
        </w:rPr>
        <w:t xml:space="preserve"> </w:t>
      </w:r>
      <w:smartTag w:uri="urn:schemas-microsoft-com:office:smarttags" w:element="country-region">
        <w:smartTag w:uri="urn:schemas-microsoft-com:office:smarttags" w:element="place">
          <w:r w:rsidRPr="0003316C">
            <w:rPr>
              <w:lang w:eastAsia="en-GB"/>
            </w:rPr>
            <w:t>Israel</w:t>
          </w:r>
        </w:smartTag>
      </w:smartTag>
      <w:r w:rsidRPr="0003316C">
        <w:rPr>
          <w:lang w:eastAsia="en-GB"/>
        </w:rPr>
        <w:t xml:space="preserve"> maintains that the purpose of the wall is to ensure security and protect Israeli citizens from terrorist attacks. In 2011, the </w:t>
      </w:r>
      <w:r w:rsidRPr="00802AA7">
        <w:rPr>
          <w:lang w:eastAsia="en-GB"/>
        </w:rPr>
        <w:t>Israeli High Court</w:t>
      </w:r>
      <w:r w:rsidR="00802AA7">
        <w:rPr>
          <w:lang w:eastAsia="en-GB"/>
        </w:rPr>
        <w:t xml:space="preserve"> of Justice</w:t>
      </w:r>
      <w:r w:rsidRPr="0003316C">
        <w:rPr>
          <w:lang w:eastAsia="en-GB"/>
        </w:rPr>
        <w:t xml:space="preserve"> supported this reasoning </w:t>
      </w:r>
      <w:r>
        <w:rPr>
          <w:lang w:eastAsia="en-GB"/>
        </w:rPr>
        <w:t xml:space="preserve">regarding security in </w:t>
      </w:r>
      <w:r w:rsidRPr="0003316C">
        <w:rPr>
          <w:lang w:eastAsia="en-GB"/>
        </w:rPr>
        <w:t xml:space="preserve">rejecting </w:t>
      </w:r>
      <w:r>
        <w:rPr>
          <w:lang w:eastAsia="en-GB"/>
        </w:rPr>
        <w:t xml:space="preserve">NGO </w:t>
      </w:r>
      <w:r w:rsidRPr="0003316C">
        <w:rPr>
          <w:lang w:eastAsia="en-GB"/>
        </w:rPr>
        <w:t>petition</w:t>
      </w:r>
      <w:r>
        <w:rPr>
          <w:lang w:eastAsia="en-GB"/>
        </w:rPr>
        <w:t>s</w:t>
      </w:r>
      <w:r w:rsidRPr="0003316C">
        <w:rPr>
          <w:lang w:eastAsia="en-GB"/>
        </w:rPr>
        <w:t xml:space="preserve"> </w:t>
      </w:r>
      <w:r w:rsidR="00F552FE">
        <w:rPr>
          <w:lang w:eastAsia="en-GB"/>
        </w:rPr>
        <w:t xml:space="preserve">which </w:t>
      </w:r>
      <w:r w:rsidRPr="0003316C">
        <w:rPr>
          <w:lang w:eastAsia="en-GB"/>
        </w:rPr>
        <w:t>claim</w:t>
      </w:r>
      <w:r w:rsidR="00F552FE">
        <w:rPr>
          <w:lang w:eastAsia="en-GB"/>
        </w:rPr>
        <w:t>ed</w:t>
      </w:r>
      <w:r w:rsidRPr="0003316C">
        <w:rPr>
          <w:lang w:eastAsia="en-GB"/>
        </w:rPr>
        <w:t xml:space="preserve"> that the permit regime was aimed at expropriati</w:t>
      </w:r>
      <w:r w:rsidR="0040494C">
        <w:rPr>
          <w:lang w:eastAsia="en-GB"/>
        </w:rPr>
        <w:t>ng</w:t>
      </w:r>
      <w:r w:rsidRPr="0003316C">
        <w:rPr>
          <w:lang w:eastAsia="en-GB"/>
        </w:rPr>
        <w:t xml:space="preserve"> and annex</w:t>
      </w:r>
      <w:r w:rsidR="0040494C">
        <w:rPr>
          <w:lang w:eastAsia="en-GB"/>
        </w:rPr>
        <w:t>ing</w:t>
      </w:r>
      <w:r w:rsidRPr="0003316C">
        <w:rPr>
          <w:lang w:eastAsia="en-GB"/>
        </w:rPr>
        <w:t xml:space="preserve"> Palestinian land</w:t>
      </w:r>
      <w:r>
        <w:rPr>
          <w:lang w:eastAsia="en-GB"/>
        </w:rPr>
        <w:t xml:space="preserve"> and </w:t>
      </w:r>
      <w:r w:rsidR="00802AA7">
        <w:rPr>
          <w:lang w:eastAsia="en-GB"/>
        </w:rPr>
        <w:t xml:space="preserve">which </w:t>
      </w:r>
      <w:r>
        <w:rPr>
          <w:lang w:eastAsia="en-GB"/>
        </w:rPr>
        <w:t>argu</w:t>
      </w:r>
      <w:r w:rsidR="00F552FE">
        <w:rPr>
          <w:lang w:eastAsia="en-GB"/>
        </w:rPr>
        <w:t>ed</w:t>
      </w:r>
      <w:r>
        <w:rPr>
          <w:lang w:eastAsia="en-GB"/>
        </w:rPr>
        <w:t xml:space="preserve"> that </w:t>
      </w:r>
      <w:r w:rsidR="00F552FE">
        <w:rPr>
          <w:lang w:eastAsia="en-GB"/>
        </w:rPr>
        <w:t xml:space="preserve">its </w:t>
      </w:r>
      <w:r>
        <w:rPr>
          <w:lang w:eastAsia="en-GB"/>
        </w:rPr>
        <w:t>exclusive application to Palestinians, and not</w:t>
      </w:r>
      <w:r w:rsidR="00A60159">
        <w:rPr>
          <w:lang w:eastAsia="en-GB"/>
        </w:rPr>
        <w:t>, for example,</w:t>
      </w:r>
      <w:r>
        <w:rPr>
          <w:lang w:eastAsia="en-GB"/>
        </w:rPr>
        <w:t xml:space="preserve"> to settlers in the zone, was discriminatory and comparable to the Pass Laws of apartheid</w:t>
      </w:r>
      <w:r w:rsidR="00A60159">
        <w:rPr>
          <w:lang w:eastAsia="en-GB"/>
        </w:rPr>
        <w:t>-era</w:t>
      </w:r>
      <w:r>
        <w:rPr>
          <w:lang w:eastAsia="en-GB"/>
        </w:rPr>
        <w:t xml:space="preserve"> South Africa</w:t>
      </w:r>
      <w:r w:rsidR="00CE0C88">
        <w:rPr>
          <w:lang w:eastAsia="en-GB"/>
        </w:rPr>
        <w:t>.</w:t>
      </w:r>
      <w:r>
        <w:rPr>
          <w:rStyle w:val="FootnoteReference"/>
          <w:lang w:eastAsia="en-GB"/>
        </w:rPr>
        <w:footnoteReference w:id="9"/>
      </w:r>
      <w:r w:rsidRPr="006B40EE">
        <w:rPr>
          <w:lang w:eastAsia="en-GB"/>
        </w:rPr>
        <w:t xml:space="preserve"> </w:t>
      </w:r>
      <w:r w:rsidR="00F552FE">
        <w:rPr>
          <w:lang w:eastAsia="en-GB"/>
        </w:rPr>
        <w:t>However, the High Court’s</w:t>
      </w:r>
      <w:r>
        <w:rPr>
          <w:lang w:eastAsia="en-GB"/>
        </w:rPr>
        <w:t xml:space="preserve"> assertion does not</w:t>
      </w:r>
      <w:r w:rsidRPr="0003316C">
        <w:rPr>
          <w:lang w:eastAsia="en-GB"/>
        </w:rPr>
        <w:t xml:space="preserve"> </w:t>
      </w:r>
      <w:r>
        <w:rPr>
          <w:lang w:eastAsia="en-GB"/>
        </w:rPr>
        <w:t>overcome the</w:t>
      </w:r>
      <w:r w:rsidRPr="0003316C">
        <w:rPr>
          <w:lang w:eastAsia="en-GB"/>
        </w:rPr>
        <w:t xml:space="preserve"> </w:t>
      </w:r>
      <w:r>
        <w:rPr>
          <w:lang w:eastAsia="en-GB"/>
        </w:rPr>
        <w:t>conclusion</w:t>
      </w:r>
      <w:r w:rsidRPr="0003316C">
        <w:rPr>
          <w:lang w:eastAsia="en-GB"/>
        </w:rPr>
        <w:t xml:space="preserve"> </w:t>
      </w:r>
      <w:r w:rsidR="00104C70">
        <w:rPr>
          <w:lang w:eastAsia="en-GB"/>
        </w:rPr>
        <w:t xml:space="preserve">by the </w:t>
      </w:r>
      <w:r w:rsidR="00D56C3C">
        <w:rPr>
          <w:lang w:eastAsia="en-GB"/>
        </w:rPr>
        <w:t>International Court of Justice</w:t>
      </w:r>
      <w:r w:rsidR="00104C70">
        <w:rPr>
          <w:lang w:eastAsia="en-GB"/>
        </w:rPr>
        <w:t xml:space="preserve"> </w:t>
      </w:r>
      <w:r w:rsidRPr="0003316C">
        <w:rPr>
          <w:lang w:eastAsia="en-GB"/>
        </w:rPr>
        <w:t xml:space="preserve">that the grave infringements of the rights of Palestinians caused by the wall in the </w:t>
      </w:r>
      <w:smartTag w:uri="urn:schemas-microsoft-com:office:smarttags" w:element="place">
        <w:smartTag w:uri="urn:schemas-microsoft-com:office:smarttags" w:element="PlaceName">
          <w:r w:rsidR="00D56C3C">
            <w:rPr>
              <w:lang w:eastAsia="en-GB"/>
            </w:rPr>
            <w:t>Occupied</w:t>
          </w:r>
        </w:smartTag>
        <w:r w:rsidR="00D56C3C">
          <w:rPr>
            <w:lang w:eastAsia="en-GB"/>
          </w:rPr>
          <w:t xml:space="preserve"> </w:t>
        </w:r>
        <w:smartTag w:uri="urn:schemas-microsoft-com:office:smarttags" w:element="PlaceName">
          <w:r w:rsidR="00D56C3C">
            <w:rPr>
              <w:lang w:eastAsia="en-GB"/>
            </w:rPr>
            <w:t>Palestinian</w:t>
          </w:r>
        </w:smartTag>
        <w:r w:rsidR="00D56C3C">
          <w:rPr>
            <w:lang w:eastAsia="en-GB"/>
          </w:rPr>
          <w:t xml:space="preserve"> </w:t>
        </w:r>
        <w:smartTag w:uri="urn:schemas-microsoft-com:office:smarttags" w:element="PlaceType">
          <w:r w:rsidR="00D56C3C">
            <w:rPr>
              <w:lang w:eastAsia="en-GB"/>
            </w:rPr>
            <w:t>Territory</w:t>
          </w:r>
        </w:smartTag>
      </w:smartTag>
      <w:r w:rsidR="00D56C3C" w:rsidRPr="0003316C">
        <w:rPr>
          <w:lang w:eastAsia="en-GB"/>
        </w:rPr>
        <w:t xml:space="preserve"> </w:t>
      </w:r>
      <w:r w:rsidRPr="0003316C">
        <w:rPr>
          <w:lang w:eastAsia="en-GB"/>
        </w:rPr>
        <w:t xml:space="preserve">were not necessary to </w:t>
      </w:r>
      <w:r>
        <w:rPr>
          <w:lang w:eastAsia="en-GB"/>
        </w:rPr>
        <w:t>satisfy</w:t>
      </w:r>
      <w:r w:rsidRPr="0003316C">
        <w:rPr>
          <w:lang w:eastAsia="en-GB"/>
        </w:rPr>
        <w:t xml:space="preserve"> </w:t>
      </w:r>
      <w:r>
        <w:rPr>
          <w:lang w:eastAsia="en-GB"/>
        </w:rPr>
        <w:t xml:space="preserve">legitimate </w:t>
      </w:r>
      <w:r w:rsidRPr="0003316C">
        <w:rPr>
          <w:lang w:eastAsia="en-GB"/>
        </w:rPr>
        <w:t>Israel</w:t>
      </w:r>
      <w:r>
        <w:rPr>
          <w:lang w:eastAsia="en-GB"/>
        </w:rPr>
        <w:t>i</w:t>
      </w:r>
      <w:r w:rsidRPr="0003316C">
        <w:rPr>
          <w:lang w:eastAsia="en-GB"/>
        </w:rPr>
        <w:t xml:space="preserve"> security </w:t>
      </w:r>
      <w:r>
        <w:rPr>
          <w:lang w:eastAsia="en-GB"/>
        </w:rPr>
        <w:t>requirements</w:t>
      </w:r>
      <w:r w:rsidR="00D56C3C">
        <w:rPr>
          <w:lang w:eastAsia="en-GB"/>
        </w:rPr>
        <w:t xml:space="preserve"> (</w:t>
      </w:r>
      <w:r w:rsidR="00D56C3C">
        <w:t>A/ES-10/273 and Corr.1, para. 136)</w:t>
      </w:r>
      <w:r w:rsidR="00CE0C88">
        <w:rPr>
          <w:lang w:eastAsia="en-GB"/>
        </w:rPr>
        <w:t>.</w:t>
      </w:r>
    </w:p>
    <w:p w:rsidR="00C05D53" w:rsidRPr="0003316C" w:rsidRDefault="00C05D53" w:rsidP="00C05D53">
      <w:pPr>
        <w:pStyle w:val="SingleTxtG"/>
        <w:numPr>
          <w:ilvl w:val="0"/>
          <w:numId w:val="10"/>
        </w:numPr>
        <w:ind w:left="1134" w:firstLine="0"/>
        <w:rPr>
          <w:lang w:eastAsia="en-GB"/>
        </w:rPr>
      </w:pPr>
      <w:r>
        <w:rPr>
          <w:lang w:eastAsia="en-GB"/>
        </w:rPr>
        <w:t>If</w:t>
      </w:r>
      <w:r w:rsidRPr="0003316C">
        <w:rPr>
          <w:lang w:eastAsia="en-GB"/>
        </w:rPr>
        <w:t xml:space="preserve"> protection of Israeli citizens were indeed the only </w:t>
      </w:r>
      <w:r>
        <w:rPr>
          <w:lang w:eastAsia="en-GB"/>
        </w:rPr>
        <w:t>reason</w:t>
      </w:r>
      <w:r w:rsidRPr="0003316C">
        <w:rPr>
          <w:lang w:eastAsia="en-GB"/>
        </w:rPr>
        <w:t xml:space="preserve"> for the wall and the associated regime, it begs the question of why </w:t>
      </w:r>
      <w:smartTag w:uri="urn:schemas-microsoft-com:office:smarttags" w:element="country-region">
        <w:r w:rsidRPr="0003316C">
          <w:rPr>
            <w:lang w:eastAsia="en-GB"/>
          </w:rPr>
          <w:t>Israel</w:t>
        </w:r>
      </w:smartTag>
      <w:r w:rsidRPr="0003316C">
        <w:rPr>
          <w:lang w:eastAsia="en-GB"/>
        </w:rPr>
        <w:t xml:space="preserve"> continues to support the expansion of illegal settlements in the </w:t>
      </w:r>
      <w:smartTag w:uri="urn:schemas-microsoft-com:office:smarttags" w:element="place">
        <w:r w:rsidRPr="0003316C">
          <w:rPr>
            <w:lang w:eastAsia="en-GB"/>
          </w:rPr>
          <w:t>West Bank</w:t>
        </w:r>
      </w:smartTag>
      <w:r w:rsidRPr="0003316C">
        <w:rPr>
          <w:lang w:eastAsia="en-GB"/>
        </w:rPr>
        <w:t xml:space="preserve">, thus moving an increasing number of Israeli citizens into the very area from which it says the risk emanates. That continued settlement </w:t>
      </w:r>
      <w:r w:rsidR="0040494C">
        <w:rPr>
          <w:lang w:eastAsia="en-GB"/>
        </w:rPr>
        <w:t>o</w:t>
      </w:r>
      <w:r w:rsidRPr="0003316C">
        <w:rPr>
          <w:lang w:eastAsia="en-GB"/>
        </w:rPr>
        <w:t xml:space="preserve">n West Bank land, including East Jerusalem, cut off by the wall </w:t>
      </w:r>
      <w:r>
        <w:rPr>
          <w:lang w:eastAsia="en-GB"/>
        </w:rPr>
        <w:t>seems to be creating</w:t>
      </w:r>
      <w:r w:rsidRPr="0003316C">
        <w:rPr>
          <w:lang w:eastAsia="en-GB"/>
        </w:rPr>
        <w:t xml:space="preserve"> a fait accompli amounting to de facto annexation, is a grave concern raised by the </w:t>
      </w:r>
      <w:r w:rsidR="00D56C3C">
        <w:rPr>
          <w:lang w:eastAsia="en-GB"/>
        </w:rPr>
        <w:t>Human Rights Council</w:t>
      </w:r>
      <w:r>
        <w:rPr>
          <w:lang w:eastAsia="en-GB"/>
        </w:rPr>
        <w:t>,</w:t>
      </w:r>
      <w:r w:rsidRPr="0003316C">
        <w:rPr>
          <w:lang w:eastAsia="en-GB"/>
        </w:rPr>
        <w:t xml:space="preserve"> which has demanded that </w:t>
      </w:r>
      <w:smartTag w:uri="urn:schemas-microsoft-com:office:smarttags" w:element="country-region">
        <w:smartTag w:uri="urn:schemas-microsoft-com:office:smarttags" w:element="place">
          <w:r w:rsidRPr="0003316C">
            <w:rPr>
              <w:lang w:eastAsia="en-GB"/>
            </w:rPr>
            <w:t>Israel</w:t>
          </w:r>
        </w:smartTag>
      </w:smartTag>
      <w:r w:rsidRPr="0003316C">
        <w:rPr>
          <w:lang w:eastAsia="en-GB"/>
        </w:rPr>
        <w:t xml:space="preserve"> comply with the </w:t>
      </w:r>
      <w:r w:rsidR="007E51F4">
        <w:rPr>
          <w:lang w:eastAsia="en-GB"/>
        </w:rPr>
        <w:t>a</w:t>
      </w:r>
      <w:r w:rsidR="007E51F4" w:rsidRPr="0003316C">
        <w:rPr>
          <w:lang w:eastAsia="en-GB"/>
        </w:rPr>
        <w:t xml:space="preserve">dvisory </w:t>
      </w:r>
      <w:r w:rsidR="007E51F4">
        <w:rPr>
          <w:lang w:eastAsia="en-GB"/>
        </w:rPr>
        <w:t>o</w:t>
      </w:r>
      <w:r w:rsidR="007E51F4" w:rsidRPr="0003316C">
        <w:rPr>
          <w:lang w:eastAsia="en-GB"/>
        </w:rPr>
        <w:t xml:space="preserve">pinion </w:t>
      </w:r>
      <w:r w:rsidRPr="0003316C">
        <w:rPr>
          <w:lang w:eastAsia="en-GB"/>
        </w:rPr>
        <w:t>(</w:t>
      </w:r>
      <w:r w:rsidR="00D56C3C">
        <w:rPr>
          <w:lang w:eastAsia="en-GB"/>
        </w:rPr>
        <w:t xml:space="preserve">Council resolution </w:t>
      </w:r>
      <w:r w:rsidRPr="0003316C">
        <w:rPr>
          <w:lang w:eastAsia="en-GB"/>
        </w:rPr>
        <w:t xml:space="preserve">22/26). </w:t>
      </w:r>
    </w:p>
    <w:p w:rsidR="00C05D53" w:rsidRPr="006B40EE" w:rsidRDefault="00C05D53" w:rsidP="00CE0C88">
      <w:pPr>
        <w:pStyle w:val="SingleTxtG"/>
        <w:numPr>
          <w:ilvl w:val="0"/>
          <w:numId w:val="10"/>
        </w:numPr>
        <w:ind w:left="1134" w:firstLine="0"/>
        <w:rPr>
          <w:lang w:eastAsia="en-GB"/>
        </w:rPr>
      </w:pPr>
      <w:r>
        <w:rPr>
          <w:lang w:eastAsia="en-GB"/>
        </w:rPr>
        <w:t xml:space="preserve">For </w:t>
      </w:r>
      <w:r w:rsidRPr="0003316C">
        <w:rPr>
          <w:lang w:eastAsia="en-GB"/>
        </w:rPr>
        <w:t>Palestinian residents isolate</w:t>
      </w:r>
      <w:r>
        <w:rPr>
          <w:lang w:eastAsia="en-GB"/>
        </w:rPr>
        <w:t>d</w:t>
      </w:r>
      <w:r w:rsidRPr="0003316C">
        <w:rPr>
          <w:lang w:eastAsia="en-GB"/>
        </w:rPr>
        <w:t xml:space="preserve"> from the rest of the West Bank</w:t>
      </w:r>
      <w:r>
        <w:rPr>
          <w:lang w:eastAsia="en-GB"/>
        </w:rPr>
        <w:t xml:space="preserve"> by </w:t>
      </w:r>
      <w:r w:rsidRPr="0003316C">
        <w:rPr>
          <w:lang w:eastAsia="en-GB"/>
        </w:rPr>
        <w:t>the wall</w:t>
      </w:r>
      <w:r>
        <w:rPr>
          <w:lang w:eastAsia="en-GB"/>
        </w:rPr>
        <w:t>,</w:t>
      </w:r>
      <w:r w:rsidR="00610662">
        <w:rPr>
          <w:lang w:eastAsia="en-GB"/>
        </w:rPr>
        <w:t xml:space="preserve"> </w:t>
      </w:r>
      <w:r>
        <w:rPr>
          <w:lang w:eastAsia="en-GB"/>
        </w:rPr>
        <w:t>and living under the</w:t>
      </w:r>
      <w:r w:rsidRPr="0003316C">
        <w:rPr>
          <w:lang w:eastAsia="en-GB"/>
        </w:rPr>
        <w:t xml:space="preserve"> </w:t>
      </w:r>
      <w:r>
        <w:rPr>
          <w:lang w:eastAsia="en-GB"/>
        </w:rPr>
        <w:t>permit regime and other restrictions,</w:t>
      </w:r>
      <w:r w:rsidRPr="0003316C">
        <w:rPr>
          <w:lang w:eastAsia="en-GB"/>
        </w:rPr>
        <w:t xml:space="preserve"> the issue is</w:t>
      </w:r>
      <w:r>
        <w:rPr>
          <w:lang w:eastAsia="en-GB"/>
        </w:rPr>
        <w:t xml:space="preserve"> not </w:t>
      </w:r>
      <w:r w:rsidR="0024492C">
        <w:rPr>
          <w:lang w:eastAsia="en-GB"/>
        </w:rPr>
        <w:t>only</w:t>
      </w:r>
      <w:r w:rsidR="0024492C" w:rsidRPr="0003316C">
        <w:rPr>
          <w:lang w:eastAsia="en-GB"/>
        </w:rPr>
        <w:t xml:space="preserve"> </w:t>
      </w:r>
      <w:r w:rsidRPr="0003316C">
        <w:rPr>
          <w:lang w:eastAsia="en-GB"/>
        </w:rPr>
        <w:t xml:space="preserve">about status, </w:t>
      </w:r>
      <w:r>
        <w:rPr>
          <w:lang w:eastAsia="en-GB"/>
        </w:rPr>
        <w:t>but</w:t>
      </w:r>
      <w:r w:rsidRPr="0003316C">
        <w:rPr>
          <w:lang w:eastAsia="en-GB"/>
        </w:rPr>
        <w:t xml:space="preserve"> </w:t>
      </w:r>
      <w:r>
        <w:rPr>
          <w:lang w:eastAsia="en-GB"/>
        </w:rPr>
        <w:lastRenderedPageBreak/>
        <w:t>also</w:t>
      </w:r>
      <w:r w:rsidRPr="0003316C">
        <w:rPr>
          <w:lang w:eastAsia="en-GB"/>
        </w:rPr>
        <w:t xml:space="preserve"> about how life is made untenable</w:t>
      </w:r>
      <w:r>
        <w:rPr>
          <w:lang w:eastAsia="en-GB"/>
        </w:rPr>
        <w:t>, inducing</w:t>
      </w:r>
      <w:r w:rsidRPr="0003316C">
        <w:rPr>
          <w:lang w:eastAsia="en-GB"/>
        </w:rPr>
        <w:t xml:space="preserve"> more and more Palestinians</w:t>
      </w:r>
      <w:r>
        <w:rPr>
          <w:lang w:eastAsia="en-GB"/>
        </w:rPr>
        <w:t xml:space="preserve"> to abandon</w:t>
      </w:r>
      <w:r w:rsidRPr="0003316C">
        <w:rPr>
          <w:lang w:eastAsia="en-GB"/>
        </w:rPr>
        <w:t xml:space="preserve"> their land and leave. By way of illustration,</w:t>
      </w:r>
      <w:r w:rsidR="005A14F8">
        <w:rPr>
          <w:lang w:eastAsia="en-GB"/>
        </w:rPr>
        <w:t xml:space="preserve"> </w:t>
      </w:r>
      <w:r>
        <w:rPr>
          <w:lang w:eastAsia="en-GB"/>
        </w:rPr>
        <w:t>f</w:t>
      </w:r>
      <w:r w:rsidRPr="0003316C">
        <w:rPr>
          <w:lang w:eastAsia="en-GB"/>
        </w:rPr>
        <w:t xml:space="preserve">or years, the </w:t>
      </w:r>
      <w:smartTag w:uri="urn:schemas-microsoft-com:office:smarttags" w:element="place">
        <w:smartTag w:uri="urn:schemas-microsoft-com:office:smarttags" w:element="PlaceType">
          <w:r w:rsidRPr="0003316C">
            <w:rPr>
              <w:lang w:eastAsia="en-GB"/>
            </w:rPr>
            <w:t>village</w:t>
          </w:r>
        </w:smartTag>
        <w:r w:rsidRPr="0003316C">
          <w:rPr>
            <w:lang w:eastAsia="en-GB"/>
          </w:rPr>
          <w:t xml:space="preserve"> </w:t>
        </w:r>
        <w:r>
          <w:rPr>
            <w:lang w:eastAsia="en-GB"/>
          </w:rPr>
          <w:t xml:space="preserve">of </w:t>
        </w:r>
        <w:smartTag w:uri="urn:schemas-microsoft-com:office:smarttags" w:element="PlaceName">
          <w:r>
            <w:rPr>
              <w:lang w:eastAsia="en-GB"/>
            </w:rPr>
            <w:t>Nabi Sam</w:t>
          </w:r>
          <w:r w:rsidR="004A7CD5">
            <w:rPr>
              <w:lang w:eastAsia="en-GB"/>
            </w:rPr>
            <w:t>u</w:t>
          </w:r>
          <w:r>
            <w:rPr>
              <w:lang w:eastAsia="en-GB"/>
            </w:rPr>
            <w:t>el</w:t>
          </w:r>
        </w:smartTag>
      </w:smartTag>
      <w:r>
        <w:rPr>
          <w:lang w:eastAsia="en-GB"/>
        </w:rPr>
        <w:t xml:space="preserve"> </w:t>
      </w:r>
      <w:r w:rsidRPr="0003316C">
        <w:rPr>
          <w:lang w:eastAsia="en-GB"/>
        </w:rPr>
        <w:t xml:space="preserve">reportedly attempted to improve the village school. </w:t>
      </w:r>
      <w:r>
        <w:rPr>
          <w:lang w:eastAsia="en-GB"/>
        </w:rPr>
        <w:t xml:space="preserve">The village’s location in the seam zone complicates access to outside education. </w:t>
      </w:r>
      <w:r w:rsidRPr="0003316C">
        <w:rPr>
          <w:lang w:eastAsia="en-GB"/>
        </w:rPr>
        <w:t>The United Nations Under-Secretary-General for Humanitarian Affairs and Emergency Relief Coordinator stated on her 2011 visit to the village: “</w:t>
      </w:r>
      <w:r w:rsidRPr="006B40EE">
        <w:rPr>
          <w:lang w:eastAsia="en-GB"/>
        </w:rPr>
        <w:t>I am horrified by the way the Barrier affects Palestinians. It divides communities and inhibits the provision of services. I visited a one-room school with no windows and very few facilities, which can’t be improved because the planning rules don’t allow it. This is unacceptable</w:t>
      </w:r>
      <w:r w:rsidR="00CE0C88">
        <w:rPr>
          <w:lang w:eastAsia="en-GB"/>
        </w:rPr>
        <w:t>.</w:t>
      </w:r>
      <w:r w:rsidR="000D3098">
        <w:rPr>
          <w:lang w:eastAsia="en-GB"/>
        </w:rPr>
        <w:t>”</w:t>
      </w:r>
      <w:r w:rsidRPr="00F15DE6">
        <w:rPr>
          <w:sz w:val="18"/>
          <w:vertAlign w:val="superscript"/>
          <w:lang w:eastAsia="en-GB"/>
        </w:rPr>
        <w:footnoteReference w:id="10"/>
      </w:r>
      <w:r w:rsidRPr="0003316C">
        <w:rPr>
          <w:lang w:eastAsia="en-GB"/>
        </w:rPr>
        <w:t xml:space="preserve"> In September 2013, the village succeeded in installing a container on the school ground to serve as a</w:t>
      </w:r>
      <w:r>
        <w:rPr>
          <w:lang w:eastAsia="en-GB"/>
        </w:rPr>
        <w:t xml:space="preserve">n </w:t>
      </w:r>
      <w:r w:rsidRPr="0003316C">
        <w:rPr>
          <w:lang w:eastAsia="en-GB"/>
        </w:rPr>
        <w:t xml:space="preserve">additional classroom. However, the school is </w:t>
      </w:r>
      <w:r>
        <w:rPr>
          <w:lang w:eastAsia="en-GB"/>
        </w:rPr>
        <w:t xml:space="preserve">now </w:t>
      </w:r>
      <w:r w:rsidRPr="0003316C">
        <w:rPr>
          <w:lang w:eastAsia="en-GB"/>
        </w:rPr>
        <w:t>in danger of losing one of its two rooms</w:t>
      </w:r>
      <w:r>
        <w:rPr>
          <w:lang w:eastAsia="en-GB"/>
        </w:rPr>
        <w:t xml:space="preserve"> for lack of a building permit</w:t>
      </w:r>
      <w:r w:rsidR="00CE0C88">
        <w:rPr>
          <w:lang w:eastAsia="en-GB"/>
        </w:rPr>
        <w:t>.</w:t>
      </w:r>
      <w:r w:rsidRPr="00F15DE6">
        <w:rPr>
          <w:sz w:val="18"/>
          <w:vertAlign w:val="superscript"/>
          <w:lang w:eastAsia="en-GB"/>
        </w:rPr>
        <w:footnoteReference w:id="11"/>
      </w:r>
      <w:r w:rsidR="005B6B63" w:rsidDel="005B6B63">
        <w:rPr>
          <w:lang w:eastAsia="en-GB"/>
        </w:rPr>
        <w:t xml:space="preserve"> </w:t>
      </w:r>
      <w:r>
        <w:rPr>
          <w:lang w:eastAsia="en-GB"/>
        </w:rPr>
        <w:t>These acutely burdensome</w:t>
      </w:r>
      <w:r w:rsidRPr="0003316C">
        <w:rPr>
          <w:lang w:eastAsia="en-GB"/>
        </w:rPr>
        <w:t xml:space="preserve"> living conditions lead to </w:t>
      </w:r>
      <w:r>
        <w:rPr>
          <w:lang w:eastAsia="en-GB"/>
        </w:rPr>
        <w:t xml:space="preserve">the </w:t>
      </w:r>
      <w:r w:rsidRPr="0003316C">
        <w:rPr>
          <w:lang w:eastAsia="en-GB"/>
        </w:rPr>
        <w:t>displacement</w:t>
      </w:r>
      <w:r>
        <w:rPr>
          <w:lang w:eastAsia="en-GB"/>
        </w:rPr>
        <w:t xml:space="preserve"> of long</w:t>
      </w:r>
      <w:r w:rsidR="006947CC">
        <w:rPr>
          <w:lang w:eastAsia="en-GB"/>
        </w:rPr>
        <w:t>-</w:t>
      </w:r>
      <w:r>
        <w:rPr>
          <w:lang w:eastAsia="en-GB"/>
        </w:rPr>
        <w:t>term residents</w:t>
      </w:r>
      <w:r w:rsidRPr="0003316C">
        <w:rPr>
          <w:lang w:eastAsia="en-GB"/>
        </w:rPr>
        <w:t xml:space="preserve">. </w:t>
      </w:r>
      <w:r>
        <w:rPr>
          <w:lang w:eastAsia="en-GB"/>
        </w:rPr>
        <w:t>In 2012,</w:t>
      </w:r>
      <w:r w:rsidRPr="0003316C">
        <w:rPr>
          <w:lang w:eastAsia="en-GB"/>
        </w:rPr>
        <w:t xml:space="preserve"> the Village Council </w:t>
      </w:r>
      <w:r>
        <w:rPr>
          <w:lang w:eastAsia="en-GB"/>
        </w:rPr>
        <w:t xml:space="preserve">noted that over </w:t>
      </w:r>
      <w:r w:rsidRPr="0003316C">
        <w:rPr>
          <w:lang w:eastAsia="en-GB"/>
        </w:rPr>
        <w:t xml:space="preserve">the past decade at least 10 families </w:t>
      </w:r>
      <w:r>
        <w:rPr>
          <w:lang w:eastAsia="en-GB"/>
        </w:rPr>
        <w:t xml:space="preserve">have </w:t>
      </w:r>
      <w:r w:rsidRPr="0003316C">
        <w:rPr>
          <w:lang w:eastAsia="en-GB"/>
        </w:rPr>
        <w:t>le</w:t>
      </w:r>
      <w:r>
        <w:rPr>
          <w:lang w:eastAsia="en-GB"/>
        </w:rPr>
        <w:t>ft</w:t>
      </w:r>
      <w:r w:rsidRPr="0003316C">
        <w:rPr>
          <w:lang w:eastAsia="en-GB"/>
        </w:rPr>
        <w:t xml:space="preserve"> the village</w:t>
      </w:r>
      <w:r>
        <w:rPr>
          <w:lang w:eastAsia="en-GB"/>
        </w:rPr>
        <w:t>, which counts some 260 residents</w:t>
      </w:r>
      <w:r w:rsidR="00CE0C88">
        <w:rPr>
          <w:lang w:eastAsia="en-GB"/>
        </w:rPr>
        <w:t>.</w:t>
      </w:r>
      <w:r w:rsidRPr="00F15DE6">
        <w:rPr>
          <w:sz w:val="18"/>
          <w:vertAlign w:val="superscript"/>
          <w:lang w:eastAsia="en-GB"/>
        </w:rPr>
        <w:footnoteReference w:id="12"/>
      </w:r>
    </w:p>
    <w:p w:rsidR="00C05D53" w:rsidRPr="0003316C" w:rsidRDefault="00C05D53" w:rsidP="00CE0C88">
      <w:pPr>
        <w:pStyle w:val="SingleTxtG"/>
        <w:numPr>
          <w:ilvl w:val="0"/>
          <w:numId w:val="10"/>
        </w:numPr>
        <w:ind w:left="1134" w:firstLine="0"/>
        <w:rPr>
          <w:lang w:eastAsia="en-GB"/>
        </w:rPr>
      </w:pPr>
      <w:r w:rsidRPr="0003316C">
        <w:rPr>
          <w:lang w:eastAsia="en-GB"/>
        </w:rPr>
        <w:t xml:space="preserve">Another case in point is the </w:t>
      </w:r>
      <w:r>
        <w:rPr>
          <w:lang w:eastAsia="en-GB"/>
        </w:rPr>
        <w:t xml:space="preserve">approximately 25 houses making up the </w:t>
      </w:r>
      <w:smartTag w:uri="urn:schemas-microsoft-com:office:smarttags" w:element="place">
        <w:smartTag w:uri="urn:schemas-microsoft-com:office:smarttags" w:element="PlaceType">
          <w:r w:rsidRPr="0003316C">
            <w:rPr>
              <w:lang w:eastAsia="en-GB"/>
            </w:rPr>
            <w:t>village</w:t>
          </w:r>
        </w:smartTag>
        <w:r w:rsidRPr="0003316C">
          <w:rPr>
            <w:lang w:eastAsia="en-GB"/>
          </w:rPr>
          <w:t xml:space="preserve"> of </w:t>
        </w:r>
        <w:smartTag w:uri="urn:schemas-microsoft-com:office:smarttags" w:element="PlaceName">
          <w:r w:rsidRPr="0003316C">
            <w:rPr>
              <w:lang w:eastAsia="en-GB"/>
            </w:rPr>
            <w:t>Al</w:t>
          </w:r>
          <w:r w:rsidR="00AF672A">
            <w:rPr>
              <w:lang w:eastAsia="en-GB"/>
            </w:rPr>
            <w:noBreakHyphen/>
          </w:r>
          <w:r w:rsidRPr="0003316C">
            <w:rPr>
              <w:lang w:eastAsia="en-GB"/>
            </w:rPr>
            <w:t>Numan</w:t>
          </w:r>
        </w:smartTag>
      </w:smartTag>
      <w:r>
        <w:rPr>
          <w:lang w:eastAsia="en-GB"/>
        </w:rPr>
        <w:t>. It is</w:t>
      </w:r>
      <w:r w:rsidRPr="0003316C">
        <w:rPr>
          <w:lang w:eastAsia="en-GB"/>
        </w:rPr>
        <w:t xml:space="preserve"> also encircled by the wall</w:t>
      </w:r>
      <w:r>
        <w:rPr>
          <w:lang w:eastAsia="en-GB"/>
        </w:rPr>
        <w:t>,</w:t>
      </w:r>
      <w:r w:rsidRPr="0003316C">
        <w:rPr>
          <w:lang w:eastAsia="en-GB"/>
        </w:rPr>
        <w:t xml:space="preserve"> with</w:t>
      </w:r>
      <w:r>
        <w:rPr>
          <w:lang w:eastAsia="en-GB"/>
        </w:rPr>
        <w:t xml:space="preserve"> its only</w:t>
      </w:r>
      <w:r w:rsidRPr="0003316C">
        <w:rPr>
          <w:lang w:eastAsia="en-GB"/>
        </w:rPr>
        <w:t xml:space="preserve"> access through an Israeli checkpoint, and restricted from </w:t>
      </w:r>
      <w:r>
        <w:rPr>
          <w:lang w:eastAsia="en-GB"/>
        </w:rPr>
        <w:t xml:space="preserve">unlicensed </w:t>
      </w:r>
      <w:r w:rsidRPr="0003316C">
        <w:rPr>
          <w:lang w:eastAsia="en-GB"/>
        </w:rPr>
        <w:t>building activity</w:t>
      </w:r>
      <w:r>
        <w:rPr>
          <w:lang w:eastAsia="en-GB"/>
        </w:rPr>
        <w:t>,</w:t>
      </w:r>
      <w:r w:rsidRPr="0003316C">
        <w:rPr>
          <w:lang w:eastAsia="en-GB"/>
        </w:rPr>
        <w:t xml:space="preserve"> </w:t>
      </w:r>
      <w:r>
        <w:rPr>
          <w:lang w:eastAsia="en-GB"/>
        </w:rPr>
        <w:t xml:space="preserve">effectively </w:t>
      </w:r>
      <w:r w:rsidR="004241E2">
        <w:rPr>
          <w:lang w:eastAsia="en-GB"/>
        </w:rPr>
        <w:t>preventing</w:t>
      </w:r>
      <w:r w:rsidRPr="0003316C">
        <w:rPr>
          <w:lang w:eastAsia="en-GB"/>
        </w:rPr>
        <w:t xml:space="preserve"> families and the population of the village </w:t>
      </w:r>
      <w:r w:rsidR="004241E2">
        <w:rPr>
          <w:lang w:eastAsia="en-GB"/>
        </w:rPr>
        <w:t>from</w:t>
      </w:r>
      <w:r w:rsidRPr="0003316C">
        <w:rPr>
          <w:lang w:eastAsia="en-GB"/>
        </w:rPr>
        <w:t xml:space="preserve"> grow</w:t>
      </w:r>
      <w:r w:rsidR="004241E2">
        <w:rPr>
          <w:lang w:eastAsia="en-GB"/>
        </w:rPr>
        <w:t>ing,</w:t>
      </w:r>
      <w:r w:rsidRPr="0003316C">
        <w:rPr>
          <w:lang w:eastAsia="en-GB"/>
        </w:rPr>
        <w:t xml:space="preserve"> as housing needs cannot be met</w:t>
      </w:r>
      <w:r w:rsidR="00CE0C88">
        <w:rPr>
          <w:lang w:eastAsia="en-GB"/>
        </w:rPr>
        <w:t>.</w:t>
      </w:r>
      <w:r w:rsidRPr="00F15DE6">
        <w:rPr>
          <w:sz w:val="18"/>
          <w:vertAlign w:val="superscript"/>
          <w:lang w:eastAsia="en-GB"/>
        </w:rPr>
        <w:footnoteReference w:id="13"/>
      </w:r>
      <w:r w:rsidRPr="0003316C">
        <w:rPr>
          <w:lang w:eastAsia="en-GB"/>
        </w:rPr>
        <w:t xml:space="preserve"> </w:t>
      </w:r>
      <w:r>
        <w:rPr>
          <w:lang w:eastAsia="en-GB"/>
        </w:rPr>
        <w:t xml:space="preserve">Consequently, </w:t>
      </w:r>
      <w:r w:rsidRPr="0003316C">
        <w:rPr>
          <w:lang w:eastAsia="en-GB"/>
        </w:rPr>
        <w:t>the villagers have seen their own number fall while observing the neighbouring illegal Har Homa settlement’s steady growth in occupied territory. In 2006 Al</w:t>
      </w:r>
      <w:r w:rsidR="00AF672A">
        <w:rPr>
          <w:lang w:eastAsia="en-GB"/>
        </w:rPr>
        <w:noBreakHyphen/>
      </w:r>
      <w:r w:rsidRPr="0003316C">
        <w:rPr>
          <w:lang w:eastAsia="en-GB"/>
        </w:rPr>
        <w:t>Haq published a case study on the indirect forcible transfer taking place in Al</w:t>
      </w:r>
      <w:r w:rsidR="00610662">
        <w:rPr>
          <w:lang w:eastAsia="en-GB"/>
        </w:rPr>
        <w:noBreakHyphen/>
      </w:r>
      <w:r w:rsidRPr="0003316C">
        <w:rPr>
          <w:lang w:eastAsia="en-GB"/>
        </w:rPr>
        <w:t>Numan</w:t>
      </w:r>
      <w:r w:rsidR="00CE0C88">
        <w:rPr>
          <w:lang w:eastAsia="en-GB"/>
        </w:rPr>
        <w:t>.</w:t>
      </w:r>
      <w:r w:rsidRPr="00F15DE6">
        <w:rPr>
          <w:sz w:val="18"/>
          <w:vertAlign w:val="superscript"/>
          <w:lang w:eastAsia="en-GB"/>
        </w:rPr>
        <w:footnoteReference w:id="14"/>
      </w:r>
      <w:r w:rsidRPr="0003316C">
        <w:rPr>
          <w:lang w:eastAsia="en-GB"/>
        </w:rPr>
        <w:t xml:space="preserve"> These are but two concrete examples of the obstacles communities face daily. In 2012, the Office for the Coordination of Humanitarian Affairs estimated </w:t>
      </w:r>
      <w:r>
        <w:rPr>
          <w:lang w:eastAsia="en-GB"/>
        </w:rPr>
        <w:t xml:space="preserve">that </w:t>
      </w:r>
      <w:r w:rsidRPr="0003316C">
        <w:rPr>
          <w:lang w:eastAsia="en-GB"/>
        </w:rPr>
        <w:t xml:space="preserve">approximately 7,500 Palestinians still </w:t>
      </w:r>
      <w:r w:rsidR="001F1862" w:rsidRPr="0003316C">
        <w:rPr>
          <w:lang w:eastAsia="en-GB"/>
        </w:rPr>
        <w:t>liv</w:t>
      </w:r>
      <w:r w:rsidR="001F1862">
        <w:rPr>
          <w:lang w:eastAsia="en-GB"/>
        </w:rPr>
        <w:t>ed</w:t>
      </w:r>
      <w:r w:rsidR="001F1862" w:rsidRPr="0003316C">
        <w:rPr>
          <w:lang w:eastAsia="en-GB"/>
        </w:rPr>
        <w:t xml:space="preserve"> </w:t>
      </w:r>
      <w:r w:rsidRPr="0003316C">
        <w:rPr>
          <w:lang w:eastAsia="en-GB"/>
        </w:rPr>
        <w:t>in the seam zone</w:t>
      </w:r>
      <w:r w:rsidR="004241E2">
        <w:rPr>
          <w:lang w:eastAsia="en-GB"/>
        </w:rPr>
        <w:t>,</w:t>
      </w:r>
      <w:r w:rsidRPr="00F15DE6">
        <w:rPr>
          <w:sz w:val="18"/>
          <w:vertAlign w:val="superscript"/>
          <w:lang w:eastAsia="en-GB"/>
        </w:rPr>
        <w:footnoteReference w:id="15"/>
      </w:r>
      <w:r w:rsidRPr="0003316C">
        <w:rPr>
          <w:lang w:eastAsia="en-GB"/>
        </w:rPr>
        <w:t xml:space="preserve"> </w:t>
      </w:r>
      <w:r w:rsidR="004241E2">
        <w:rPr>
          <w:lang w:eastAsia="en-GB"/>
        </w:rPr>
        <w:t>down</w:t>
      </w:r>
      <w:r w:rsidRPr="0003316C">
        <w:rPr>
          <w:lang w:eastAsia="en-GB"/>
        </w:rPr>
        <w:t xml:space="preserve"> from an estimated 10,000 people in 2003</w:t>
      </w:r>
      <w:r w:rsidR="00CE0C88">
        <w:rPr>
          <w:lang w:eastAsia="en-GB"/>
        </w:rPr>
        <w:t>.</w:t>
      </w:r>
      <w:r w:rsidRPr="00F15DE6">
        <w:rPr>
          <w:sz w:val="18"/>
          <w:vertAlign w:val="superscript"/>
          <w:lang w:eastAsia="en-GB"/>
        </w:rPr>
        <w:footnoteReference w:id="16"/>
      </w:r>
      <w:r w:rsidRPr="0003316C">
        <w:rPr>
          <w:lang w:eastAsia="en-GB"/>
        </w:rPr>
        <w:t xml:space="preserve"> Upon completion of the wall, an estimated 25,000 Palestinians would be located in the seam zone, a figure which does not include the Palestinian population in </w:t>
      </w:r>
      <w:smartTag w:uri="urn:schemas-microsoft-com:office:smarttags" w:element="place">
        <w:r w:rsidRPr="0003316C">
          <w:rPr>
            <w:lang w:eastAsia="en-GB"/>
          </w:rPr>
          <w:t>East Jerusalem</w:t>
        </w:r>
      </w:smartTag>
      <w:r w:rsidR="00CE0C88">
        <w:rPr>
          <w:lang w:eastAsia="en-GB"/>
        </w:rPr>
        <w:t>.</w:t>
      </w:r>
      <w:r w:rsidRPr="00F15DE6">
        <w:rPr>
          <w:sz w:val="18"/>
          <w:vertAlign w:val="superscript"/>
          <w:lang w:eastAsia="en-GB"/>
        </w:rPr>
        <w:footnoteReference w:id="17"/>
      </w:r>
    </w:p>
    <w:p w:rsidR="00C05D53" w:rsidRDefault="00C05D53" w:rsidP="00FC7386">
      <w:pPr>
        <w:pStyle w:val="SingleTxtG"/>
        <w:numPr>
          <w:ilvl w:val="0"/>
          <w:numId w:val="10"/>
        </w:numPr>
        <w:ind w:left="1134" w:firstLine="0"/>
        <w:rPr>
          <w:lang w:eastAsia="en-GB"/>
        </w:rPr>
      </w:pPr>
      <w:r w:rsidRPr="0003316C">
        <w:rPr>
          <w:lang w:eastAsia="en-GB"/>
        </w:rPr>
        <w:t xml:space="preserve">Regular demonstrations against the wall and its associated regime staged </w:t>
      </w:r>
      <w:r w:rsidR="007E51F4">
        <w:rPr>
          <w:lang w:eastAsia="en-GB"/>
        </w:rPr>
        <w:t xml:space="preserve">in </w:t>
      </w:r>
      <w:r w:rsidRPr="0003316C">
        <w:rPr>
          <w:lang w:eastAsia="en-GB"/>
        </w:rPr>
        <w:t>affected villages are often violently suppressed</w:t>
      </w:r>
      <w:r w:rsidR="00CE0C88">
        <w:rPr>
          <w:lang w:eastAsia="en-GB"/>
        </w:rPr>
        <w:t>.</w:t>
      </w:r>
      <w:r w:rsidRPr="00F15DE6">
        <w:rPr>
          <w:sz w:val="18"/>
          <w:vertAlign w:val="superscript"/>
          <w:lang w:eastAsia="en-GB"/>
        </w:rPr>
        <w:footnoteReference w:id="18"/>
      </w:r>
      <w:r w:rsidRPr="0003316C">
        <w:rPr>
          <w:lang w:eastAsia="en-GB"/>
        </w:rPr>
        <w:t xml:space="preserve"> A website for the </w:t>
      </w:r>
      <w:smartTag w:uri="urn:schemas-microsoft-com:office:smarttags" w:element="place">
        <w:smartTag w:uri="urn:schemas-microsoft-com:office:smarttags" w:element="PlaceType">
          <w:r w:rsidRPr="0003316C">
            <w:rPr>
              <w:lang w:eastAsia="en-GB"/>
            </w:rPr>
            <w:t>village</w:t>
          </w:r>
        </w:smartTag>
        <w:r w:rsidRPr="0003316C">
          <w:rPr>
            <w:lang w:eastAsia="en-GB"/>
          </w:rPr>
          <w:t xml:space="preserve"> of </w:t>
        </w:r>
        <w:smartTag w:uri="urn:schemas-microsoft-com:office:smarttags" w:element="PlaceName">
          <w:r w:rsidRPr="0003316C">
            <w:rPr>
              <w:lang w:eastAsia="en-GB"/>
            </w:rPr>
            <w:t>Bil’in</w:t>
          </w:r>
        </w:smartTag>
      </w:smartTag>
      <w:r w:rsidRPr="0003316C">
        <w:rPr>
          <w:lang w:eastAsia="en-GB"/>
        </w:rPr>
        <w:t xml:space="preserve">, a farming community, describes its struggle thus: </w:t>
      </w:r>
      <w:r w:rsidRPr="006B40EE">
        <w:rPr>
          <w:lang w:eastAsia="en-GB"/>
        </w:rPr>
        <w:t>“[Bil’in] is fighting to safeguard its land, its olive trees, its resources</w:t>
      </w:r>
      <w:r w:rsidR="003F0BE0">
        <w:rPr>
          <w:lang w:eastAsia="en-GB"/>
        </w:rPr>
        <w:t> </w:t>
      </w:r>
      <w:r w:rsidRPr="006B40EE">
        <w:rPr>
          <w:lang w:eastAsia="en-GB"/>
        </w:rPr>
        <w:t xml:space="preserve">… its liberty… Supported by Israeli and international activists, Bil’in residents peacefully demonstrate every Friday in front of the </w:t>
      </w:r>
      <w:r w:rsidR="00FC7386">
        <w:rPr>
          <w:b/>
          <w:lang w:eastAsia="en-GB"/>
        </w:rPr>
        <w:t>‘</w:t>
      </w:r>
      <w:r w:rsidRPr="006B40EE">
        <w:rPr>
          <w:lang w:eastAsia="en-GB"/>
        </w:rPr>
        <w:t>work-site of shame</w:t>
      </w:r>
      <w:r w:rsidR="00FC7386">
        <w:rPr>
          <w:lang w:eastAsia="en-GB"/>
        </w:rPr>
        <w:t>’</w:t>
      </w:r>
      <w:r w:rsidRPr="006B40EE">
        <w:rPr>
          <w:lang w:eastAsia="en-GB"/>
        </w:rPr>
        <w:t>. And every Friday the Israeli army responds with both physical and psychological violence</w:t>
      </w:r>
      <w:r w:rsidR="00CE0C88">
        <w:rPr>
          <w:lang w:eastAsia="en-GB"/>
        </w:rPr>
        <w:t>.”</w:t>
      </w:r>
      <w:r w:rsidRPr="00F15DE6">
        <w:rPr>
          <w:sz w:val="18"/>
          <w:vertAlign w:val="superscript"/>
          <w:lang w:eastAsia="en-GB"/>
        </w:rPr>
        <w:footnoteReference w:id="19"/>
      </w:r>
    </w:p>
    <w:p w:rsidR="00C05D53" w:rsidRPr="006B40EE" w:rsidRDefault="00C05D53" w:rsidP="00CE0C88">
      <w:pPr>
        <w:pStyle w:val="SingleTxtG"/>
        <w:numPr>
          <w:ilvl w:val="0"/>
          <w:numId w:val="10"/>
        </w:numPr>
        <w:ind w:left="1134" w:firstLine="0"/>
        <w:rPr>
          <w:lang w:eastAsia="en-GB"/>
        </w:rPr>
      </w:pPr>
      <w:r>
        <w:rPr>
          <w:lang w:eastAsia="en-GB"/>
        </w:rPr>
        <w:t>T</w:t>
      </w:r>
      <w:r w:rsidRPr="001A07AC">
        <w:rPr>
          <w:lang w:eastAsia="en-GB"/>
        </w:rPr>
        <w:t xml:space="preserve">he impact </w:t>
      </w:r>
      <w:r>
        <w:rPr>
          <w:lang w:eastAsia="en-GB"/>
        </w:rPr>
        <w:t xml:space="preserve">of </w:t>
      </w:r>
      <w:r w:rsidRPr="001A07AC">
        <w:rPr>
          <w:lang w:eastAsia="en-GB"/>
        </w:rPr>
        <w:t xml:space="preserve">the wall on people’s lives </w:t>
      </w:r>
      <w:r>
        <w:rPr>
          <w:lang w:eastAsia="en-GB"/>
        </w:rPr>
        <w:t>is reflected in</w:t>
      </w:r>
      <w:r w:rsidRPr="001A07AC">
        <w:rPr>
          <w:lang w:eastAsia="en-GB"/>
        </w:rPr>
        <w:t xml:space="preserve"> the progress report of the Board of the United Nations Register of Damage Caused by the Construction of the Wall in the </w:t>
      </w:r>
      <w:smartTag w:uri="urn:schemas-microsoft-com:office:smarttags" w:element="place">
        <w:smartTag w:uri="urn:schemas-microsoft-com:office:smarttags" w:element="PlaceName">
          <w:r w:rsidR="00443E92" w:rsidRPr="001A07AC">
            <w:rPr>
              <w:lang w:eastAsia="en-GB"/>
            </w:rPr>
            <w:t>O</w:t>
          </w:r>
          <w:r w:rsidR="00443E92">
            <w:rPr>
              <w:lang w:eastAsia="en-GB"/>
            </w:rPr>
            <w:t>ccupied</w:t>
          </w:r>
        </w:smartTag>
        <w:r w:rsidR="00443E92">
          <w:rPr>
            <w:lang w:eastAsia="en-GB"/>
          </w:rPr>
          <w:t xml:space="preserve"> </w:t>
        </w:r>
        <w:smartTag w:uri="urn:schemas-microsoft-com:office:smarttags" w:element="PlaceName">
          <w:r w:rsidR="00443E92">
            <w:rPr>
              <w:lang w:eastAsia="en-GB"/>
            </w:rPr>
            <w:t>Palestinian</w:t>
          </w:r>
        </w:smartTag>
        <w:r w:rsidR="00443E92">
          <w:rPr>
            <w:lang w:eastAsia="en-GB"/>
          </w:rPr>
          <w:t xml:space="preserve"> </w:t>
        </w:r>
        <w:smartTag w:uri="urn:schemas-microsoft-com:office:smarttags" w:element="PlaceType">
          <w:r w:rsidR="00443E92">
            <w:rPr>
              <w:lang w:eastAsia="en-GB"/>
            </w:rPr>
            <w:t>Territory</w:t>
          </w:r>
        </w:smartTag>
      </w:smartTag>
      <w:r w:rsidR="00443E92">
        <w:rPr>
          <w:lang w:eastAsia="en-GB"/>
        </w:rPr>
        <w:t xml:space="preserve"> (see </w:t>
      </w:r>
      <w:r w:rsidR="00443E92" w:rsidRPr="001A07AC">
        <w:t>A/ES-10/599</w:t>
      </w:r>
      <w:r w:rsidR="00443E92">
        <w:t>)</w:t>
      </w:r>
      <w:r w:rsidR="00CE0C88">
        <w:rPr>
          <w:lang w:eastAsia="en-GB"/>
        </w:rPr>
        <w:t>.</w:t>
      </w:r>
      <w:r w:rsidRPr="001A07AC">
        <w:rPr>
          <w:lang w:eastAsia="en-GB"/>
        </w:rPr>
        <w:t xml:space="preserve"> </w:t>
      </w:r>
      <w:r>
        <w:rPr>
          <w:lang w:eastAsia="en-GB"/>
        </w:rPr>
        <w:t>A</w:t>
      </w:r>
      <w:r w:rsidRPr="001A07AC">
        <w:rPr>
          <w:lang w:eastAsia="en-GB"/>
        </w:rPr>
        <w:t xml:space="preserve">s </w:t>
      </w:r>
      <w:r w:rsidR="00443E92">
        <w:rPr>
          <w:lang w:eastAsia="en-GB"/>
        </w:rPr>
        <w:t>at</w:t>
      </w:r>
      <w:r w:rsidR="00443E92" w:rsidRPr="001A07AC">
        <w:rPr>
          <w:lang w:eastAsia="en-GB"/>
        </w:rPr>
        <w:t xml:space="preserve"> </w:t>
      </w:r>
      <w:r w:rsidRPr="001A07AC">
        <w:rPr>
          <w:lang w:eastAsia="en-GB"/>
        </w:rPr>
        <w:t>June 2013, 36</w:t>
      </w:r>
      <w:r w:rsidR="00AF672A">
        <w:rPr>
          <w:lang w:eastAsia="en-GB"/>
        </w:rPr>
        <w:t>,</w:t>
      </w:r>
      <w:r w:rsidRPr="001A07AC">
        <w:rPr>
          <w:lang w:eastAsia="en-GB"/>
        </w:rPr>
        <w:t xml:space="preserve">803 claim forms </w:t>
      </w:r>
      <w:r w:rsidRPr="001A07AC">
        <w:rPr>
          <w:lang w:eastAsia="en-GB"/>
        </w:rPr>
        <w:lastRenderedPageBreak/>
        <w:t>for registration of damage had been received</w:t>
      </w:r>
      <w:r>
        <w:rPr>
          <w:lang w:eastAsia="en-GB"/>
        </w:rPr>
        <w:t xml:space="preserve"> and, </w:t>
      </w:r>
      <w:r w:rsidRPr="001A07AC">
        <w:rPr>
          <w:lang w:eastAsia="en-GB"/>
        </w:rPr>
        <w:t>of the almost 9</w:t>
      </w:r>
      <w:r w:rsidR="00AF672A">
        <w:rPr>
          <w:lang w:eastAsia="en-GB"/>
        </w:rPr>
        <w:t>,</w:t>
      </w:r>
      <w:r w:rsidRPr="001A07AC">
        <w:rPr>
          <w:lang w:eastAsia="en-GB"/>
        </w:rPr>
        <w:t>000 claims decided, all but 5</w:t>
      </w:r>
      <w:r w:rsidR="00D00D2E">
        <w:rPr>
          <w:lang w:eastAsia="en-GB"/>
        </w:rPr>
        <w:t>76</w:t>
      </w:r>
      <w:r w:rsidRPr="001A07AC">
        <w:rPr>
          <w:lang w:eastAsia="en-GB"/>
        </w:rPr>
        <w:t xml:space="preserve"> claims were found to meet the eligibility criteria for inclusion in the register. Claimants may submit claims under categories of losses</w:t>
      </w:r>
      <w:r>
        <w:rPr>
          <w:lang w:eastAsia="en-GB"/>
        </w:rPr>
        <w:t xml:space="preserve"> including</w:t>
      </w:r>
      <w:r w:rsidRPr="001A07AC">
        <w:rPr>
          <w:lang w:eastAsia="en-GB"/>
        </w:rPr>
        <w:t>: agriculture; commercial; residential; employment; access to services; and public resources</w:t>
      </w:r>
      <w:r w:rsidR="00CE0C88">
        <w:rPr>
          <w:lang w:eastAsia="en-GB"/>
        </w:rPr>
        <w:t>.</w:t>
      </w:r>
      <w:r w:rsidRPr="001A07AC">
        <w:rPr>
          <w:sz w:val="18"/>
          <w:vertAlign w:val="superscript"/>
          <w:lang w:eastAsia="en-GB"/>
        </w:rPr>
        <w:footnoteReference w:id="20"/>
      </w:r>
    </w:p>
    <w:p w:rsidR="00C05D53" w:rsidRPr="0003316C" w:rsidRDefault="00C05D53" w:rsidP="00360FE6">
      <w:pPr>
        <w:pStyle w:val="SingleTxtG"/>
        <w:keepLines/>
        <w:numPr>
          <w:ilvl w:val="0"/>
          <w:numId w:val="10"/>
        </w:numPr>
        <w:ind w:left="1134" w:firstLine="0"/>
        <w:rPr>
          <w:lang w:eastAsia="en-GB"/>
        </w:rPr>
      </w:pPr>
      <w:r w:rsidRPr="0003316C">
        <w:rPr>
          <w:lang w:eastAsia="en-GB"/>
        </w:rPr>
        <w:t xml:space="preserve">In his first report to the General Assembly, the Special Rapporteur recommended </w:t>
      </w:r>
      <w:r>
        <w:rPr>
          <w:lang w:eastAsia="en-GB"/>
        </w:rPr>
        <w:t xml:space="preserve">seeking </w:t>
      </w:r>
      <w:r w:rsidRPr="0003316C">
        <w:rPr>
          <w:lang w:eastAsia="en-GB"/>
        </w:rPr>
        <w:t xml:space="preserve">the assistance of the Security Council </w:t>
      </w:r>
      <w:r>
        <w:rPr>
          <w:lang w:eastAsia="en-GB"/>
        </w:rPr>
        <w:t>for</w:t>
      </w:r>
      <w:r w:rsidRPr="0003316C">
        <w:rPr>
          <w:lang w:eastAsia="en-GB"/>
        </w:rPr>
        <w:t xml:space="preserve"> the implementation of the advisory opinion</w:t>
      </w:r>
      <w:r w:rsidR="005E669F">
        <w:rPr>
          <w:lang w:eastAsia="en-GB"/>
        </w:rPr>
        <w:t xml:space="preserve"> </w:t>
      </w:r>
      <w:r w:rsidR="005E669F" w:rsidRPr="0003316C">
        <w:rPr>
          <w:lang w:eastAsia="en-GB"/>
        </w:rPr>
        <w:t>(A/63/326</w:t>
      </w:r>
      <w:r w:rsidR="002826B1">
        <w:rPr>
          <w:lang w:eastAsia="en-GB"/>
        </w:rPr>
        <w:t>, para. 51</w:t>
      </w:r>
      <w:r w:rsidR="005E669F">
        <w:rPr>
          <w:lang w:eastAsia="en-GB"/>
        </w:rPr>
        <w:t>(b)</w:t>
      </w:r>
      <w:r w:rsidR="005E669F" w:rsidRPr="0003316C">
        <w:rPr>
          <w:lang w:eastAsia="en-GB"/>
        </w:rPr>
        <w:t>)</w:t>
      </w:r>
      <w:r w:rsidRPr="0003316C">
        <w:rPr>
          <w:lang w:eastAsia="en-GB"/>
        </w:rPr>
        <w:t xml:space="preserve">. In the face of the unequivocal opinion of the </w:t>
      </w:r>
      <w:r w:rsidR="005E669F">
        <w:rPr>
          <w:lang w:eastAsia="en-GB"/>
        </w:rPr>
        <w:t>International Court of Justice</w:t>
      </w:r>
      <w:r>
        <w:rPr>
          <w:lang w:eastAsia="en-GB"/>
        </w:rPr>
        <w:t>,</w:t>
      </w:r>
      <w:r w:rsidRPr="0003316C">
        <w:rPr>
          <w:lang w:eastAsia="en-GB"/>
        </w:rPr>
        <w:t xml:space="preserve"> and</w:t>
      </w:r>
      <w:r>
        <w:rPr>
          <w:lang w:eastAsia="en-GB"/>
        </w:rPr>
        <w:t xml:space="preserve"> of</w:t>
      </w:r>
      <w:r w:rsidRPr="0003316C">
        <w:rPr>
          <w:lang w:eastAsia="en-GB"/>
        </w:rPr>
        <w:t xml:space="preserve"> General Assembly resolution ES-10/15</w:t>
      </w:r>
      <w:r w:rsidR="005E669F">
        <w:rPr>
          <w:lang w:eastAsia="en-GB"/>
        </w:rPr>
        <w:t>, in which</w:t>
      </w:r>
      <w:r w:rsidRPr="0003316C">
        <w:rPr>
          <w:lang w:eastAsia="en-GB"/>
        </w:rPr>
        <w:t xml:space="preserve"> </w:t>
      </w:r>
      <w:r>
        <w:rPr>
          <w:lang w:eastAsia="en-GB"/>
        </w:rPr>
        <w:t>th</w:t>
      </w:r>
      <w:r w:rsidR="005E669F">
        <w:rPr>
          <w:lang w:eastAsia="en-GB"/>
        </w:rPr>
        <w:t>e Assembly</w:t>
      </w:r>
      <w:r w:rsidRPr="0003316C">
        <w:rPr>
          <w:lang w:eastAsia="en-GB"/>
        </w:rPr>
        <w:t xml:space="preserve"> called on </w:t>
      </w:r>
      <w:smartTag w:uri="urn:schemas-microsoft-com:office:smarttags" w:element="country-region">
        <w:r w:rsidRPr="0003316C">
          <w:rPr>
            <w:lang w:eastAsia="en-GB"/>
          </w:rPr>
          <w:t>Israel</w:t>
        </w:r>
      </w:smartTag>
      <w:r w:rsidRPr="0003316C">
        <w:rPr>
          <w:lang w:eastAsia="en-GB"/>
        </w:rPr>
        <w:t xml:space="preserve"> to comply with the </w:t>
      </w:r>
      <w:r>
        <w:rPr>
          <w:lang w:eastAsia="en-GB"/>
        </w:rPr>
        <w:t>advisory</w:t>
      </w:r>
      <w:r w:rsidRPr="0003316C">
        <w:rPr>
          <w:lang w:eastAsia="en-GB"/>
        </w:rPr>
        <w:t xml:space="preserve"> opinion, </w:t>
      </w:r>
      <w:smartTag w:uri="urn:schemas-microsoft-com:office:smarttags" w:element="country-region">
        <w:smartTag w:uri="urn:schemas-microsoft-com:office:smarttags" w:element="place">
          <w:r w:rsidRPr="0003316C">
            <w:rPr>
              <w:lang w:eastAsia="en-GB"/>
            </w:rPr>
            <w:t>Israel</w:t>
          </w:r>
        </w:smartTag>
      </w:smartTag>
      <w:r w:rsidRPr="0003316C">
        <w:rPr>
          <w:lang w:eastAsia="en-GB"/>
        </w:rPr>
        <w:t xml:space="preserve"> has </w:t>
      </w:r>
      <w:r>
        <w:rPr>
          <w:lang w:eastAsia="en-GB"/>
        </w:rPr>
        <w:t xml:space="preserve">defiantly acted as if international law and international judicial authority has no bearing on </w:t>
      </w:r>
      <w:r w:rsidR="005E669F">
        <w:rPr>
          <w:lang w:eastAsia="en-GB"/>
        </w:rPr>
        <w:t xml:space="preserve">its </w:t>
      </w:r>
      <w:r>
        <w:rPr>
          <w:lang w:eastAsia="en-GB"/>
        </w:rPr>
        <w:t xml:space="preserve">policies and </w:t>
      </w:r>
      <w:r w:rsidR="00CE0C88">
        <w:rPr>
          <w:lang w:eastAsia="en-GB"/>
        </w:rPr>
        <w:t>behaviour.</w:t>
      </w:r>
      <w:r w:rsidRPr="0003316C">
        <w:rPr>
          <w:lang w:eastAsia="en-GB"/>
        </w:rPr>
        <w:t xml:space="preserve"> With the tenth anniversary of the advisory opinion approaching, it is time again to examine what legitimate action by the international community </w:t>
      </w:r>
      <w:r>
        <w:rPr>
          <w:lang w:eastAsia="en-GB"/>
        </w:rPr>
        <w:t>can be taken</w:t>
      </w:r>
      <w:r w:rsidRPr="0003316C">
        <w:rPr>
          <w:lang w:eastAsia="en-GB"/>
        </w:rPr>
        <w:t xml:space="preserve"> to achieve compliance with international law, as set out by the </w:t>
      </w:r>
      <w:r w:rsidR="00FB2E20">
        <w:rPr>
          <w:lang w:eastAsia="en-GB"/>
        </w:rPr>
        <w:t>International Court of Justice</w:t>
      </w:r>
      <w:r w:rsidRPr="0003316C">
        <w:rPr>
          <w:lang w:eastAsia="en-GB"/>
        </w:rPr>
        <w:t>.</w:t>
      </w:r>
      <w:r>
        <w:rPr>
          <w:lang w:eastAsia="en-GB"/>
        </w:rPr>
        <w:t xml:space="preserve"> It is often supposed that because the legal findings of the </w:t>
      </w:r>
      <w:r w:rsidR="00FB2E20">
        <w:rPr>
          <w:lang w:eastAsia="en-GB"/>
        </w:rPr>
        <w:t xml:space="preserve">Court </w:t>
      </w:r>
      <w:r>
        <w:rPr>
          <w:lang w:eastAsia="en-GB"/>
        </w:rPr>
        <w:t xml:space="preserve">were embedded in an </w:t>
      </w:r>
      <w:r w:rsidR="00CE0C88">
        <w:rPr>
          <w:lang w:eastAsia="en-GB"/>
        </w:rPr>
        <w:t>“</w:t>
      </w:r>
      <w:r>
        <w:rPr>
          <w:lang w:eastAsia="en-GB"/>
        </w:rPr>
        <w:t>advisory opinion</w:t>
      </w:r>
      <w:r w:rsidR="00CE0C88">
        <w:rPr>
          <w:lang w:eastAsia="en-GB"/>
        </w:rPr>
        <w:t>”</w:t>
      </w:r>
      <w:r>
        <w:rPr>
          <w:lang w:eastAsia="en-GB"/>
        </w:rPr>
        <w:t xml:space="preserve"> it has no bearing on the status of </w:t>
      </w:r>
      <w:r w:rsidR="00FB2E20">
        <w:rPr>
          <w:lang w:eastAsia="en-GB"/>
        </w:rPr>
        <w:t xml:space="preserve">the </w:t>
      </w:r>
      <w:r>
        <w:rPr>
          <w:lang w:eastAsia="en-GB"/>
        </w:rPr>
        <w:t>legal obligations</w:t>
      </w:r>
      <w:r w:rsidR="00FB2E20">
        <w:rPr>
          <w:lang w:eastAsia="en-GB"/>
        </w:rPr>
        <w:t xml:space="preserve"> of </w:t>
      </w:r>
      <w:smartTag w:uri="urn:schemas-microsoft-com:office:smarttags" w:element="country-region">
        <w:smartTag w:uri="urn:schemas-microsoft-com:office:smarttags" w:element="place">
          <w:r w:rsidR="00FB2E20">
            <w:rPr>
              <w:lang w:eastAsia="en-GB"/>
            </w:rPr>
            <w:t>Israel</w:t>
          </w:r>
        </w:smartTag>
      </w:smartTag>
      <w:r>
        <w:rPr>
          <w:lang w:eastAsia="en-GB"/>
        </w:rPr>
        <w:t xml:space="preserve">. This is incorrect. An advisory opinion of the </w:t>
      </w:r>
      <w:r w:rsidR="00FB2E20">
        <w:rPr>
          <w:lang w:eastAsia="en-GB"/>
        </w:rPr>
        <w:t>International Court of Justice</w:t>
      </w:r>
      <w:r>
        <w:rPr>
          <w:lang w:eastAsia="en-GB"/>
        </w:rPr>
        <w:t xml:space="preserve"> is as determinative with respect to the authority of international law as a judg</w:t>
      </w:r>
      <w:r w:rsidR="00FB2E20">
        <w:rPr>
          <w:lang w:eastAsia="en-GB"/>
        </w:rPr>
        <w:t>e</w:t>
      </w:r>
      <w:r>
        <w:rPr>
          <w:lang w:eastAsia="en-GB"/>
        </w:rPr>
        <w:t xml:space="preserve">ment in a dispute between two or more </w:t>
      </w:r>
      <w:r w:rsidR="00FB2E20">
        <w:rPr>
          <w:lang w:eastAsia="en-GB"/>
        </w:rPr>
        <w:t>S</w:t>
      </w:r>
      <w:r>
        <w:rPr>
          <w:lang w:eastAsia="en-GB"/>
        </w:rPr>
        <w:t>tates, but unlike such a judg</w:t>
      </w:r>
      <w:r w:rsidR="00FB2E20">
        <w:rPr>
          <w:lang w:eastAsia="en-GB"/>
        </w:rPr>
        <w:t>e</w:t>
      </w:r>
      <w:r>
        <w:rPr>
          <w:lang w:eastAsia="en-GB"/>
        </w:rPr>
        <w:t xml:space="preserve">ment between </w:t>
      </w:r>
      <w:r w:rsidR="00FB2E20">
        <w:rPr>
          <w:lang w:eastAsia="en-GB"/>
        </w:rPr>
        <w:t>S</w:t>
      </w:r>
      <w:r>
        <w:rPr>
          <w:lang w:eastAsia="en-GB"/>
        </w:rPr>
        <w:t>tates that can be directly enforced by reliance on Article</w:t>
      </w:r>
      <w:r w:rsidR="00CE0C88">
        <w:rPr>
          <w:lang w:eastAsia="en-GB"/>
        </w:rPr>
        <w:t> </w:t>
      </w:r>
      <w:r>
        <w:rPr>
          <w:lang w:eastAsia="en-GB"/>
        </w:rPr>
        <w:t>94 of the Charter</w:t>
      </w:r>
      <w:r w:rsidR="00FB2E20">
        <w:rPr>
          <w:lang w:eastAsia="en-GB"/>
        </w:rPr>
        <w:t xml:space="preserve"> of the United Nations</w:t>
      </w:r>
      <w:r>
        <w:rPr>
          <w:lang w:eastAsia="en-GB"/>
        </w:rPr>
        <w:t>, an advisory opinion cannot be so implemented. However, this difference does not weaken the obligation of Israel to act in accordance with this authoritative determination of international legal obligations, and its failure to do so puts it in breach of international law and responsible for the cumulative harm inflicted on the Palestinian people. It is past time for the United Nations to take action that seeks to protect the rights of the Palestinian people bearing on the sanctity of their territory and its relation to the underlying right of self-determination.</w:t>
      </w:r>
    </w:p>
    <w:p w:rsidR="00C05D53" w:rsidRPr="007F5C54" w:rsidRDefault="007F5C54" w:rsidP="007F5C54">
      <w:pPr>
        <w:pStyle w:val="HChG"/>
      </w:pPr>
      <w:r>
        <w:tab/>
        <w:t>III.</w:t>
      </w:r>
      <w:r>
        <w:tab/>
      </w:r>
      <w:r w:rsidR="00C05D53" w:rsidRPr="00360FE6">
        <w:rPr>
          <w:rFonts w:ascii="Times New Roman Bold" w:hAnsi="Times New Roman Bold"/>
          <w:spacing w:val="-2"/>
        </w:rPr>
        <w:t xml:space="preserve">Israeli settlements and the fragmentation of occupied </w:t>
      </w:r>
      <w:smartTag w:uri="urn:schemas-microsoft-com:office:smarttags" w:element="City">
        <w:smartTag w:uri="urn:schemas-microsoft-com:office:smarttags" w:element="place">
          <w:r w:rsidR="00C05D53" w:rsidRPr="00360FE6">
            <w:rPr>
              <w:rFonts w:ascii="Times New Roman Bold" w:hAnsi="Times New Roman Bold"/>
              <w:spacing w:val="-2"/>
            </w:rPr>
            <w:t>Palestine</w:t>
          </w:r>
        </w:smartTag>
      </w:smartTag>
      <w:r w:rsidR="00C05D53" w:rsidRPr="00360FE6">
        <w:rPr>
          <w:rFonts w:ascii="Times New Roman Bold" w:hAnsi="Times New Roman Bold"/>
          <w:spacing w:val="-2"/>
        </w:rPr>
        <w:t xml:space="preserve"> </w:t>
      </w:r>
    </w:p>
    <w:p w:rsidR="00C05D53" w:rsidRDefault="00C05D53" w:rsidP="00B577E3">
      <w:pPr>
        <w:pStyle w:val="H23G"/>
      </w:pPr>
      <w:r>
        <w:tab/>
      </w:r>
      <w:r>
        <w:tab/>
        <w:t xml:space="preserve">Facts on the ground </w:t>
      </w:r>
    </w:p>
    <w:p w:rsidR="00C05D53" w:rsidRDefault="00C05D53" w:rsidP="00CE0C88">
      <w:pPr>
        <w:pStyle w:val="SingleTxtG"/>
        <w:numPr>
          <w:ilvl w:val="0"/>
          <w:numId w:val="10"/>
        </w:numPr>
        <w:ind w:left="1134" w:firstLine="0"/>
      </w:pPr>
      <w:r>
        <w:rPr>
          <w:lang w:eastAsia="en-GB"/>
        </w:rPr>
        <w:t xml:space="preserve">The hallmark of </w:t>
      </w:r>
      <w:smartTag w:uri="urn:schemas-microsoft-com:office:smarttags" w:element="country-region">
        <w:r>
          <w:rPr>
            <w:lang w:eastAsia="en-GB"/>
          </w:rPr>
          <w:t>Israel</w:t>
        </w:r>
      </w:smartTag>
      <w:r>
        <w:rPr>
          <w:lang w:eastAsia="en-GB"/>
        </w:rPr>
        <w:t xml:space="preserve">’s 46-year prolonged annexing occupation of </w:t>
      </w:r>
      <w:smartTag w:uri="urn:schemas-microsoft-com:office:smarttags" w:element="City">
        <w:r>
          <w:rPr>
            <w:lang w:eastAsia="en-GB"/>
          </w:rPr>
          <w:t>Palestine</w:t>
        </w:r>
      </w:smartTag>
      <w:r>
        <w:rPr>
          <w:lang w:eastAsia="en-GB"/>
        </w:rPr>
        <w:t xml:space="preserve"> has been </w:t>
      </w:r>
      <w:r w:rsidR="00014B3B">
        <w:rPr>
          <w:lang w:eastAsia="en-GB"/>
        </w:rPr>
        <w:t xml:space="preserve">the </w:t>
      </w:r>
      <w:r>
        <w:rPr>
          <w:lang w:eastAsia="en-GB"/>
        </w:rPr>
        <w:t>determined pursuit</w:t>
      </w:r>
      <w:r w:rsidR="00014B3B">
        <w:rPr>
          <w:lang w:eastAsia="en-GB"/>
        </w:rPr>
        <w:t xml:space="preserve"> by </w:t>
      </w:r>
      <w:smartTag w:uri="urn:schemas-microsoft-com:office:smarttags" w:element="country-region">
        <w:r w:rsidR="00014B3B">
          <w:rPr>
            <w:lang w:eastAsia="en-GB"/>
          </w:rPr>
          <w:t>Israel</w:t>
        </w:r>
      </w:smartTag>
      <w:r>
        <w:rPr>
          <w:lang w:eastAsia="en-GB"/>
        </w:rPr>
        <w:t xml:space="preserve"> of settlement construction and expansion in the West Bank, including </w:t>
      </w:r>
      <w:smartTag w:uri="urn:schemas-microsoft-com:office:smarttags" w:element="place">
        <w:r>
          <w:rPr>
            <w:lang w:eastAsia="en-GB"/>
          </w:rPr>
          <w:t>East Jerusalem</w:t>
        </w:r>
      </w:smartTag>
      <w:r>
        <w:rPr>
          <w:lang w:eastAsia="en-GB"/>
        </w:rPr>
        <w:t>, in defiance of its international law obligations</w:t>
      </w:r>
      <w:r w:rsidR="00C20365">
        <w:rPr>
          <w:lang w:eastAsia="en-GB"/>
        </w:rPr>
        <w:t xml:space="preserve"> (</w:t>
      </w:r>
      <w:r w:rsidR="00C20365">
        <w:rPr>
          <w:lang w:val="es-ES"/>
        </w:rPr>
        <w:t xml:space="preserve">A/68/513, </w:t>
      </w:r>
      <w:r w:rsidR="00C20365" w:rsidRPr="00411345">
        <w:rPr>
          <w:lang w:val="es-ES"/>
        </w:rPr>
        <w:t>paras.</w:t>
      </w:r>
      <w:r w:rsidR="00C20365">
        <w:rPr>
          <w:lang w:val="es-ES"/>
        </w:rPr>
        <w:t> </w:t>
      </w:r>
      <w:r w:rsidR="00F7322D">
        <w:rPr>
          <w:lang w:val="es-ES"/>
        </w:rPr>
        <w:t>4–</w:t>
      </w:r>
      <w:r w:rsidR="00C20365" w:rsidRPr="00411345">
        <w:rPr>
          <w:lang w:val="es-ES"/>
        </w:rPr>
        <w:t>5)</w:t>
      </w:r>
      <w:r w:rsidR="00CE0C88">
        <w:rPr>
          <w:lang w:eastAsia="en-GB"/>
        </w:rPr>
        <w:t>.</w:t>
      </w:r>
      <w:r>
        <w:rPr>
          <w:lang w:eastAsia="en-GB"/>
        </w:rPr>
        <w:t xml:space="preserve"> This was clearly reflected in the findings </w:t>
      </w:r>
      <w:r>
        <w:t>of the international fact-finding mission on the impli</w:t>
      </w:r>
      <w:r w:rsidR="0012756A">
        <w:t>cations of Israeli settlements</w:t>
      </w:r>
      <w:r w:rsidR="00F7322D">
        <w:t xml:space="preserve"> (A/HRC/22/63)</w:t>
      </w:r>
      <w:r>
        <w:t>.</w:t>
      </w:r>
      <w:r>
        <w:rPr>
          <w:lang w:eastAsia="en-GB"/>
        </w:rPr>
        <w:t xml:space="preserve"> Throughout the past six years, the Special Rapporteur has periodically reported on the expansion of settlements and outposts</w:t>
      </w:r>
      <w:r>
        <w:rPr>
          <w:rStyle w:val="FootnoteReference"/>
          <w:lang w:eastAsia="en-GB"/>
        </w:rPr>
        <w:footnoteReference w:id="21"/>
      </w:r>
      <w:r>
        <w:rPr>
          <w:lang w:eastAsia="en-GB"/>
        </w:rPr>
        <w:t xml:space="preserve"> in the West Bank, including East Jerusalem (in breach of Israel’s own commitment to freeze settlement expansion, including natural growth under the 2003 Quartet </w:t>
      </w:r>
      <w:r w:rsidR="00F40FC3">
        <w:rPr>
          <w:lang w:eastAsia="en-GB"/>
        </w:rPr>
        <w:t>r</w:t>
      </w:r>
      <w:r>
        <w:rPr>
          <w:lang w:eastAsia="en-GB"/>
        </w:rPr>
        <w:t xml:space="preserve">oad </w:t>
      </w:r>
      <w:r w:rsidR="00F40FC3">
        <w:rPr>
          <w:lang w:eastAsia="en-GB"/>
        </w:rPr>
        <w:t>m</w:t>
      </w:r>
      <w:r>
        <w:rPr>
          <w:lang w:eastAsia="en-GB"/>
        </w:rPr>
        <w:t>ap), and the impact of associated policies and practices on the human rights of Palestinians living in the occupied territory.</w:t>
      </w:r>
      <w:r>
        <w:rPr>
          <w:rStyle w:val="FootnoteReference"/>
          <w:lang w:eastAsia="en-GB"/>
        </w:rPr>
        <w:footnoteReference w:id="22"/>
      </w:r>
      <w:r>
        <w:rPr>
          <w:lang w:eastAsia="en-GB"/>
        </w:rPr>
        <w:t xml:space="preserve"> While the pro-settlement camp claims that “</w:t>
      </w:r>
      <w:r w:rsidR="00F40FC3">
        <w:rPr>
          <w:lang w:eastAsia="en-GB"/>
        </w:rPr>
        <w:t>s</w:t>
      </w:r>
      <w:r>
        <w:rPr>
          <w:lang w:eastAsia="en-GB"/>
        </w:rPr>
        <w:t>e</w:t>
      </w:r>
      <w:r>
        <w:t>ttlements aren’t the problem”</w:t>
      </w:r>
      <w:r w:rsidR="00CE0C88">
        <w:t>,</w:t>
      </w:r>
      <w:r>
        <w:rPr>
          <w:rStyle w:val="FootnoteReference"/>
        </w:rPr>
        <w:footnoteReference w:id="23"/>
      </w:r>
      <w:r>
        <w:t xml:space="preserve"> this view stands in sharp contrast to the facts on the ground.</w:t>
      </w:r>
    </w:p>
    <w:p w:rsidR="00C05D53" w:rsidRDefault="00C05D53" w:rsidP="00CE0C88">
      <w:pPr>
        <w:pStyle w:val="SingleTxtG"/>
        <w:numPr>
          <w:ilvl w:val="0"/>
          <w:numId w:val="10"/>
        </w:numPr>
        <w:ind w:left="1134" w:firstLine="0"/>
      </w:pPr>
      <w:r>
        <w:t xml:space="preserve">Increasing fragmentation of the West Bank, including East Jerusalem, by way of a combination of policies and practices including, but not limited to: the wall; the creation of </w:t>
      </w:r>
      <w:r>
        <w:lastRenderedPageBreak/>
        <w:t>seam zones; checkpoints; zoning and planning restrictions; demolition of homes and forced evictions (particularly of Bedouin communities in Area</w:t>
      </w:r>
      <w:r w:rsidR="00CE0C88">
        <w:t> </w:t>
      </w:r>
      <w:r>
        <w:t>C); revocation of residency rights; the designation of vast tracts of land in the West Bank as closed military zones or natural reserves; and the expropriation of land for settler agriculture or industrial zones, may irreversibly disrupt the contiguity of the West Bank</w:t>
      </w:r>
      <w:r w:rsidR="00B36667">
        <w:t>,</w:t>
      </w:r>
      <w:r>
        <w:t xml:space="preserve"> undermining a just and sustainable two-</w:t>
      </w:r>
      <w:r w:rsidR="00B36667">
        <w:t>S</w:t>
      </w:r>
      <w:r>
        <w:t>tate solution</w:t>
      </w:r>
      <w:r w:rsidR="00CE0C88">
        <w:t>.</w:t>
      </w:r>
      <w:r>
        <w:rPr>
          <w:rStyle w:val="FootnoteReference"/>
        </w:rPr>
        <w:footnoteReference w:id="24"/>
      </w:r>
    </w:p>
    <w:p w:rsidR="00C05D53" w:rsidRDefault="00C05D53" w:rsidP="00CE0C88">
      <w:pPr>
        <w:pStyle w:val="SingleTxtG"/>
        <w:numPr>
          <w:ilvl w:val="0"/>
          <w:numId w:val="10"/>
        </w:numPr>
        <w:ind w:left="1134" w:firstLine="0"/>
        <w:rPr>
          <w:lang w:eastAsia="en-GB"/>
        </w:rPr>
      </w:pPr>
      <w:r>
        <w:rPr>
          <w:lang w:eastAsia="en-GB"/>
        </w:rPr>
        <w:t xml:space="preserve">Peace Now, an Israeli NGO, called attention </w:t>
      </w:r>
      <w:r w:rsidR="005A14F8">
        <w:rPr>
          <w:lang w:eastAsia="en-GB"/>
        </w:rPr>
        <w:t xml:space="preserve">to </w:t>
      </w:r>
      <w:r>
        <w:rPr>
          <w:lang w:eastAsia="en-GB"/>
        </w:rPr>
        <w:t xml:space="preserve">“Bibi’s </w:t>
      </w:r>
      <w:r w:rsidR="00B36667">
        <w:rPr>
          <w:lang w:eastAsia="en-GB"/>
        </w:rPr>
        <w:t>s</w:t>
      </w:r>
      <w:r>
        <w:rPr>
          <w:lang w:eastAsia="en-GB"/>
        </w:rPr>
        <w:t xml:space="preserve">ettlements </w:t>
      </w:r>
      <w:r w:rsidR="00B36667">
        <w:rPr>
          <w:lang w:eastAsia="en-GB"/>
        </w:rPr>
        <w:t>b</w:t>
      </w:r>
      <w:r>
        <w:rPr>
          <w:lang w:eastAsia="en-GB"/>
        </w:rPr>
        <w:t>oom”</w:t>
      </w:r>
      <w:r w:rsidR="005A14F8">
        <w:rPr>
          <w:lang w:eastAsia="en-GB"/>
        </w:rPr>
        <w:t xml:space="preserve"> in 2013</w:t>
      </w:r>
      <w:r>
        <w:rPr>
          <w:lang w:eastAsia="en-GB"/>
        </w:rPr>
        <w:t>, reporting that tenders had been published for 3,472 new units in settlements, and that plans had been promoted</w:t>
      </w:r>
      <w:r w:rsidR="00B36667">
        <w:rPr>
          <w:lang w:eastAsia="en-GB"/>
        </w:rPr>
        <w:t xml:space="preserve"> for</w:t>
      </w:r>
      <w:r>
        <w:rPr>
          <w:lang w:eastAsia="en-GB"/>
        </w:rPr>
        <w:t xml:space="preserve"> 8,943 new settlement units in the eight months since the Netanyahu </w:t>
      </w:r>
      <w:r w:rsidR="00B36667">
        <w:rPr>
          <w:lang w:eastAsia="en-GB"/>
        </w:rPr>
        <w:t>G</w:t>
      </w:r>
      <w:r>
        <w:rPr>
          <w:lang w:eastAsia="en-GB"/>
        </w:rPr>
        <w:t>overnment took office in March 2013.</w:t>
      </w:r>
      <w:r>
        <w:rPr>
          <w:rStyle w:val="FootnoteReference"/>
          <w:lang w:eastAsia="en-GB"/>
        </w:rPr>
        <w:footnoteReference w:id="25"/>
      </w:r>
      <w:r>
        <w:rPr>
          <w:lang w:eastAsia="en-GB"/>
        </w:rPr>
        <w:t xml:space="preserve"> Despite a brief and limited </w:t>
      </w:r>
      <w:r w:rsidR="00B36667">
        <w:rPr>
          <w:lang w:eastAsia="en-GB"/>
        </w:rPr>
        <w:t>10-</w:t>
      </w:r>
      <w:r>
        <w:rPr>
          <w:lang w:eastAsia="en-GB"/>
        </w:rPr>
        <w:t xml:space="preserve">month moratorium </w:t>
      </w:r>
      <w:r w:rsidRPr="00F16CE2">
        <w:rPr>
          <w:lang w:eastAsia="en-GB"/>
        </w:rPr>
        <w:t>on settlement construction in 2010</w:t>
      </w:r>
      <w:r>
        <w:rPr>
          <w:lang w:eastAsia="en-GB"/>
        </w:rPr>
        <w:t xml:space="preserve"> during the last round of unsuccessful peace talks (which also demonstrated </w:t>
      </w:r>
      <w:r w:rsidR="00B36667">
        <w:rPr>
          <w:lang w:eastAsia="en-GB"/>
        </w:rPr>
        <w:t xml:space="preserve">the </w:t>
      </w:r>
      <w:r>
        <w:rPr>
          <w:lang w:eastAsia="en-GB"/>
        </w:rPr>
        <w:t xml:space="preserve">ability </w:t>
      </w:r>
      <w:r w:rsidR="00B36667">
        <w:rPr>
          <w:lang w:eastAsia="en-GB"/>
        </w:rPr>
        <w:t xml:space="preserve">of Israel </w:t>
      </w:r>
      <w:r>
        <w:rPr>
          <w:lang w:eastAsia="en-GB"/>
        </w:rPr>
        <w:t>to halt settlement activity if desired), Israel issued tenders for the construction of 5,302 housing units in the West Bank, including East Jerusalem,</w:t>
      </w:r>
      <w:r w:rsidRPr="00F16CE2">
        <w:rPr>
          <w:lang w:eastAsia="en-GB"/>
        </w:rPr>
        <w:t xml:space="preserve"> </w:t>
      </w:r>
      <w:r>
        <w:rPr>
          <w:lang w:eastAsia="en-GB"/>
        </w:rPr>
        <w:t xml:space="preserve">during the period from </w:t>
      </w:r>
      <w:r w:rsidRPr="00F16CE2">
        <w:rPr>
          <w:lang w:eastAsia="en-GB"/>
        </w:rPr>
        <w:t xml:space="preserve">March 2009 </w:t>
      </w:r>
      <w:r>
        <w:rPr>
          <w:lang w:eastAsia="en-GB"/>
        </w:rPr>
        <w:t>to January</w:t>
      </w:r>
      <w:r w:rsidR="00CE0C88">
        <w:rPr>
          <w:lang w:eastAsia="en-GB"/>
        </w:rPr>
        <w:t> </w:t>
      </w:r>
      <w:r>
        <w:rPr>
          <w:lang w:eastAsia="en-GB"/>
        </w:rPr>
        <w:t>2013.</w:t>
      </w:r>
      <w:r>
        <w:rPr>
          <w:rStyle w:val="FootnoteReference"/>
          <w:lang w:eastAsia="en-GB"/>
        </w:rPr>
        <w:footnoteReference w:id="26"/>
      </w:r>
    </w:p>
    <w:p w:rsidR="00C05D53" w:rsidRDefault="00C05D53" w:rsidP="00CE0C88">
      <w:pPr>
        <w:pStyle w:val="SingleTxtG"/>
        <w:numPr>
          <w:ilvl w:val="0"/>
          <w:numId w:val="10"/>
        </w:numPr>
        <w:ind w:left="1134" w:firstLine="0"/>
        <w:rPr>
          <w:lang w:eastAsia="en-GB"/>
        </w:rPr>
      </w:pPr>
      <w:r>
        <w:rPr>
          <w:lang w:eastAsia="en-GB"/>
        </w:rPr>
        <w:t xml:space="preserve">The timing of announcements regarding settlement expansion has also been provocative, with the two most recent announcements coinciding with the first and second round of Palestinian prisoner releases by </w:t>
      </w:r>
      <w:smartTag w:uri="urn:schemas-microsoft-com:office:smarttags" w:element="place">
        <w:smartTag w:uri="urn:schemas-microsoft-com:office:smarttags" w:element="country-region">
          <w:r>
            <w:rPr>
              <w:lang w:eastAsia="en-GB"/>
            </w:rPr>
            <w:t>Israel</w:t>
          </w:r>
        </w:smartTag>
      </w:smartTag>
      <w:r>
        <w:rPr>
          <w:lang w:eastAsia="en-GB"/>
        </w:rPr>
        <w:t xml:space="preserve"> in the context of the renewed peace negotiations that began in August 2013. The passage of time under the status quo has not been a neutral factor for Palestinians</w:t>
      </w:r>
      <w:r w:rsidR="003725A1">
        <w:rPr>
          <w:lang w:eastAsia="en-GB"/>
        </w:rPr>
        <w:t>,</w:t>
      </w:r>
      <w:r>
        <w:rPr>
          <w:lang w:eastAsia="en-GB"/>
        </w:rPr>
        <w:t xml:space="preserve"> as more “facts on the ground” are created daily, strengthening </w:t>
      </w:r>
      <w:r w:rsidR="003725A1">
        <w:rPr>
          <w:lang w:eastAsia="en-GB"/>
        </w:rPr>
        <w:t xml:space="preserve">the </w:t>
      </w:r>
      <w:r>
        <w:rPr>
          <w:lang w:eastAsia="en-GB"/>
        </w:rPr>
        <w:t>position</w:t>
      </w:r>
      <w:r w:rsidR="003725A1">
        <w:rPr>
          <w:lang w:eastAsia="en-GB"/>
        </w:rPr>
        <w:t xml:space="preserve"> of Israel</w:t>
      </w:r>
      <w:r>
        <w:rPr>
          <w:lang w:eastAsia="en-GB"/>
        </w:rPr>
        <w:t xml:space="preserve"> in its preferred mode of power-based negotiations (as opposed to negotiations based on rights and international law). Despite protestations over settlement activity by the United Nations, and notably also by the United States</w:t>
      </w:r>
      <w:r w:rsidR="003725A1">
        <w:rPr>
          <w:lang w:eastAsia="en-GB"/>
        </w:rPr>
        <w:t xml:space="preserve"> of America</w:t>
      </w:r>
      <w:r w:rsidR="003725A1">
        <w:rPr>
          <w:rStyle w:val="FootnoteReference"/>
          <w:lang w:eastAsia="en-GB"/>
        </w:rPr>
        <w:footnoteReference w:id="27"/>
      </w:r>
      <w:r>
        <w:rPr>
          <w:lang w:eastAsia="en-GB"/>
        </w:rPr>
        <w:t xml:space="preserve"> and the European Union</w:t>
      </w:r>
      <w:r w:rsidR="00CE0C88">
        <w:rPr>
          <w:lang w:eastAsia="en-GB"/>
        </w:rPr>
        <w:t>,</w:t>
      </w:r>
      <w:r w:rsidR="003725A1" w:rsidDel="003725A1">
        <w:rPr>
          <w:rStyle w:val="FootnoteReference"/>
          <w:lang w:eastAsia="en-GB"/>
        </w:rPr>
        <w:t xml:space="preserve"> </w:t>
      </w:r>
      <w:r>
        <w:rPr>
          <w:lang w:eastAsia="en-GB"/>
        </w:rPr>
        <w:t xml:space="preserve"> Israel continues to use </w:t>
      </w:r>
      <w:r w:rsidR="003725A1">
        <w:rPr>
          <w:lang w:eastAsia="en-GB"/>
        </w:rPr>
        <w:t>S</w:t>
      </w:r>
      <w:r>
        <w:rPr>
          <w:lang w:eastAsia="en-GB"/>
        </w:rPr>
        <w:t xml:space="preserve">tate power and resources to promote its defiant settlement policies. </w:t>
      </w:r>
      <w:r w:rsidR="005B6B63">
        <w:rPr>
          <w:lang w:eastAsia="en-GB"/>
        </w:rPr>
        <w:t xml:space="preserve">The </w:t>
      </w:r>
      <w:r>
        <w:rPr>
          <w:lang w:eastAsia="en-GB"/>
        </w:rPr>
        <w:t xml:space="preserve">Secretary-General has described </w:t>
      </w:r>
      <w:smartTag w:uri="urn:schemas-microsoft-com:office:smarttags" w:element="country-region">
        <w:smartTag w:uri="urn:schemas-microsoft-com:office:smarttags" w:element="place">
          <w:r w:rsidR="005B6B63">
            <w:rPr>
              <w:lang w:eastAsia="en-GB"/>
            </w:rPr>
            <w:t>Israel</w:t>
          </w:r>
        </w:smartTag>
      </w:smartTag>
      <w:r w:rsidR="005B6B63">
        <w:rPr>
          <w:lang w:eastAsia="en-GB"/>
        </w:rPr>
        <w:t xml:space="preserve"> </w:t>
      </w:r>
      <w:r>
        <w:rPr>
          <w:lang w:eastAsia="en-GB"/>
        </w:rPr>
        <w:t xml:space="preserve">as </w:t>
      </w:r>
      <w:r w:rsidR="005B6B63">
        <w:rPr>
          <w:lang w:eastAsia="en-GB"/>
        </w:rPr>
        <w:t xml:space="preserve">playing </w:t>
      </w:r>
      <w:r>
        <w:rPr>
          <w:lang w:eastAsia="en-GB"/>
        </w:rPr>
        <w:t xml:space="preserve">a leading role in the construction and expansion of settlements </w:t>
      </w:r>
      <w:r w:rsidR="003725A1">
        <w:rPr>
          <w:lang w:eastAsia="en-GB"/>
        </w:rPr>
        <w:t>(</w:t>
      </w:r>
      <w:r w:rsidR="003725A1">
        <w:t>A/68/513, para. 3)</w:t>
      </w:r>
      <w:r>
        <w:rPr>
          <w:lang w:eastAsia="en-GB"/>
        </w:rPr>
        <w:t xml:space="preserve">. </w:t>
      </w:r>
    </w:p>
    <w:p w:rsidR="00C05D53" w:rsidRDefault="00C05D53" w:rsidP="00CE0C88">
      <w:pPr>
        <w:pStyle w:val="SingleTxtG"/>
        <w:numPr>
          <w:ilvl w:val="0"/>
          <w:numId w:val="10"/>
        </w:numPr>
        <w:ind w:left="1134" w:firstLine="0"/>
        <w:rPr>
          <w:lang w:eastAsia="en-GB"/>
        </w:rPr>
      </w:pPr>
      <w:r>
        <w:rPr>
          <w:lang w:eastAsia="en-GB"/>
        </w:rPr>
        <w:t xml:space="preserve">This latter factor is important to note if the removal of existing settlements were to occur as part of a peace agreement. Approximately half of all settlements in the West Bank can be classified by type as either </w:t>
      </w:r>
      <w:r w:rsidR="00CE0C88">
        <w:rPr>
          <w:lang w:eastAsia="en-GB"/>
        </w:rPr>
        <w:t>“</w:t>
      </w:r>
      <w:r>
        <w:rPr>
          <w:lang w:eastAsia="en-GB"/>
        </w:rPr>
        <w:t>quality of life</w:t>
      </w:r>
      <w:r w:rsidR="00CE0C88">
        <w:rPr>
          <w:lang w:eastAsia="en-GB"/>
        </w:rPr>
        <w:t>”</w:t>
      </w:r>
      <w:r>
        <w:rPr>
          <w:lang w:eastAsia="en-GB"/>
        </w:rPr>
        <w:t xml:space="preserve">, or a mixture of </w:t>
      </w:r>
      <w:r w:rsidR="00CE0C88">
        <w:rPr>
          <w:lang w:eastAsia="en-GB"/>
        </w:rPr>
        <w:t>“</w:t>
      </w:r>
      <w:r>
        <w:rPr>
          <w:lang w:eastAsia="en-GB"/>
        </w:rPr>
        <w:t>quality of life/ideological</w:t>
      </w:r>
      <w:r w:rsidR="00CE0C88">
        <w:rPr>
          <w:lang w:eastAsia="en-GB"/>
        </w:rPr>
        <w:t>”</w:t>
      </w:r>
      <w:r>
        <w:rPr>
          <w:lang w:eastAsia="en-GB"/>
        </w:rPr>
        <w:t>, which tend to be inhabited by predominately secular or mixed settler populations.</w:t>
      </w:r>
      <w:r>
        <w:rPr>
          <w:rStyle w:val="FootnoteReference"/>
          <w:lang w:eastAsia="en-GB"/>
        </w:rPr>
        <w:footnoteReference w:id="28"/>
      </w:r>
      <w:r>
        <w:rPr>
          <w:lang w:eastAsia="en-GB"/>
        </w:rPr>
        <w:t xml:space="preserve">  </w:t>
      </w:r>
      <w:smartTag w:uri="urn:schemas-microsoft-com:office:smarttags" w:element="country-region">
        <w:r>
          <w:rPr>
            <w:lang w:eastAsia="en-GB"/>
          </w:rPr>
          <w:t>Israel</w:t>
        </w:r>
      </w:smartTag>
      <w:r>
        <w:rPr>
          <w:lang w:eastAsia="en-GB"/>
        </w:rPr>
        <w:t xml:space="preserve"> might be able to re-incentivi</w:t>
      </w:r>
      <w:r w:rsidR="00050C36">
        <w:rPr>
          <w:lang w:eastAsia="en-GB"/>
        </w:rPr>
        <w:t>z</w:t>
      </w:r>
      <w:r>
        <w:rPr>
          <w:lang w:eastAsia="en-GB"/>
        </w:rPr>
        <w:t>e</w:t>
      </w:r>
      <w:r w:rsidR="00E31588">
        <w:rPr>
          <w:lang w:eastAsia="en-GB"/>
        </w:rPr>
        <w:t xml:space="preserve"> economic settlers, who were persuaded to move to the West Bank settlements through various government benefits and incentives,</w:t>
      </w:r>
      <w:r>
        <w:rPr>
          <w:lang w:eastAsia="en-GB"/>
        </w:rPr>
        <w:t xml:space="preserve"> to re-settle to the west of </w:t>
      </w:r>
      <w:r w:rsidR="00050C36">
        <w:rPr>
          <w:lang w:eastAsia="en-GB"/>
        </w:rPr>
        <w:t xml:space="preserve">the </w:t>
      </w:r>
      <w:r>
        <w:rPr>
          <w:lang w:eastAsia="en-GB"/>
        </w:rPr>
        <w:t>pre-1967 borders</w:t>
      </w:r>
      <w:r w:rsidR="00050C36">
        <w:rPr>
          <w:lang w:eastAsia="en-GB"/>
        </w:rPr>
        <w:t xml:space="preserve"> of </w:t>
      </w:r>
      <w:smartTag w:uri="urn:schemas-microsoft-com:office:smarttags" w:element="country-region">
        <w:smartTag w:uri="urn:schemas-microsoft-com:office:smarttags" w:element="place">
          <w:r w:rsidR="00050C36">
            <w:rPr>
              <w:lang w:eastAsia="en-GB"/>
            </w:rPr>
            <w:t>Israel</w:t>
          </w:r>
        </w:smartTag>
      </w:smartTag>
      <w:r>
        <w:rPr>
          <w:lang w:eastAsia="en-GB"/>
        </w:rPr>
        <w:t xml:space="preserve">. </w:t>
      </w:r>
      <w:r w:rsidR="00050C36">
        <w:rPr>
          <w:lang w:eastAsia="en-GB"/>
        </w:rPr>
        <w:t xml:space="preserve">However, it </w:t>
      </w:r>
      <w:r>
        <w:rPr>
          <w:lang w:eastAsia="en-GB"/>
        </w:rPr>
        <w:t xml:space="preserve">would have a more difficult time removing the more religious settlers who live in approximately 70 settlements across the West Bank, all the more so as population growth in the settlements </w:t>
      </w:r>
      <w:r w:rsidR="00050C36">
        <w:rPr>
          <w:lang w:eastAsia="en-GB"/>
        </w:rPr>
        <w:t>(</w:t>
      </w:r>
      <w:r>
        <w:rPr>
          <w:lang w:eastAsia="en-GB"/>
        </w:rPr>
        <w:t>approximately 2.8 per cent</w:t>
      </w:r>
      <w:r w:rsidR="00050C36">
        <w:rPr>
          <w:lang w:eastAsia="en-GB"/>
        </w:rPr>
        <w:t>)</w:t>
      </w:r>
      <w:r>
        <w:rPr>
          <w:lang w:eastAsia="en-GB"/>
        </w:rPr>
        <w:t xml:space="preserve"> continues to outstrip population growth in Israel.</w:t>
      </w:r>
      <w:r>
        <w:rPr>
          <w:rStyle w:val="FootnoteReference"/>
          <w:lang w:eastAsia="en-GB"/>
        </w:rPr>
        <w:footnoteReference w:id="29"/>
      </w:r>
      <w:r>
        <w:rPr>
          <w:lang w:eastAsia="en-GB"/>
        </w:rPr>
        <w:t xml:space="preserve"> It also remains to be seen whether an emergent settler unity precludes implementing a future peace agreement based on inducing economic settlers to return to </w:t>
      </w:r>
      <w:smartTag w:uri="urn:schemas-microsoft-com:office:smarttags" w:element="place">
        <w:smartTag w:uri="urn:schemas-microsoft-com:office:smarttags" w:element="country-region">
          <w:r>
            <w:rPr>
              <w:lang w:eastAsia="en-GB"/>
            </w:rPr>
            <w:t>Israel</w:t>
          </w:r>
        </w:smartTag>
      </w:smartTag>
      <w:r>
        <w:rPr>
          <w:lang w:eastAsia="en-GB"/>
        </w:rPr>
        <w:t>. Certainly, it may be anticipated that ideological settlers would do their best to prevent such a division and the implementation of such an agreement.</w:t>
      </w:r>
    </w:p>
    <w:p w:rsidR="00C05D53" w:rsidRDefault="00050C36" w:rsidP="00C05D53">
      <w:pPr>
        <w:pStyle w:val="SingleTxtG"/>
        <w:numPr>
          <w:ilvl w:val="0"/>
          <w:numId w:val="10"/>
        </w:numPr>
        <w:ind w:left="1134" w:firstLine="0"/>
        <w:rPr>
          <w:lang w:eastAsia="en-GB"/>
        </w:rPr>
      </w:pPr>
      <w:r>
        <w:rPr>
          <w:lang w:eastAsia="en-GB"/>
        </w:rPr>
        <w:lastRenderedPageBreak/>
        <w:t>A</w:t>
      </w:r>
      <w:r w:rsidR="00C05D53">
        <w:rPr>
          <w:lang w:eastAsia="en-GB"/>
        </w:rPr>
        <w:t xml:space="preserve"> small minority within the ideologically motivated</w:t>
      </w:r>
      <w:r w:rsidR="00610662">
        <w:rPr>
          <w:lang w:eastAsia="en-GB"/>
        </w:rPr>
        <w:t xml:space="preserve"> </w:t>
      </w:r>
      <w:r w:rsidR="00C05D53">
        <w:rPr>
          <w:lang w:eastAsia="en-GB"/>
        </w:rPr>
        <w:t>settlers ha</w:t>
      </w:r>
      <w:r>
        <w:rPr>
          <w:lang w:eastAsia="en-GB"/>
        </w:rPr>
        <w:t>s</w:t>
      </w:r>
      <w:r w:rsidR="00C05D53">
        <w:rPr>
          <w:lang w:eastAsia="en-GB"/>
        </w:rPr>
        <w:t xml:space="preserve"> been responsible for most of the violence committed against Palestinian men, women and children </w:t>
      </w:r>
      <w:r>
        <w:rPr>
          <w:lang w:eastAsia="en-GB"/>
        </w:rPr>
        <w:t>and against</w:t>
      </w:r>
      <w:r w:rsidR="00C05D53">
        <w:rPr>
          <w:lang w:eastAsia="en-GB"/>
        </w:rPr>
        <w:t xml:space="preserve"> their homes and properties. </w:t>
      </w:r>
      <w:r w:rsidR="00533214">
        <w:rPr>
          <w:lang w:eastAsia="en-GB"/>
        </w:rPr>
        <w:t>I</w:t>
      </w:r>
      <w:r w:rsidR="00C05D53">
        <w:rPr>
          <w:lang w:eastAsia="en-GB"/>
        </w:rPr>
        <w:t xml:space="preserve">n the first </w:t>
      </w:r>
      <w:r w:rsidR="00533214">
        <w:rPr>
          <w:lang w:eastAsia="en-GB"/>
        </w:rPr>
        <w:t xml:space="preserve">10 </w:t>
      </w:r>
      <w:r w:rsidR="00C05D53">
        <w:rPr>
          <w:lang w:eastAsia="en-GB"/>
        </w:rPr>
        <w:t>months of 2013,</w:t>
      </w:r>
      <w:r w:rsidR="00533214">
        <w:rPr>
          <w:lang w:eastAsia="en-GB"/>
        </w:rPr>
        <w:t xml:space="preserve"> 361 incidents of settler violence were reported,</w:t>
      </w:r>
      <w:r w:rsidR="00C05D53">
        <w:rPr>
          <w:lang w:eastAsia="en-GB"/>
        </w:rPr>
        <w:t xml:space="preserve"> including 87 resulting in the injury of Palestinians (compared to a total of 366 incidents in 2012).</w:t>
      </w:r>
      <w:r w:rsidR="00C05D53">
        <w:rPr>
          <w:rStyle w:val="FootnoteReference"/>
          <w:lang w:eastAsia="en-GB"/>
        </w:rPr>
        <w:footnoteReference w:id="30"/>
      </w:r>
      <w:r w:rsidR="00C05D53">
        <w:rPr>
          <w:lang w:eastAsia="en-GB"/>
        </w:rPr>
        <w:t xml:space="preserve"> Most of these incidents occurred in the </w:t>
      </w:r>
      <w:smartTag w:uri="urn:schemas-microsoft-com:office:smarttags" w:element="City">
        <w:r w:rsidR="00C05D53">
          <w:rPr>
            <w:lang w:eastAsia="en-GB"/>
          </w:rPr>
          <w:t>Nablus</w:t>
        </w:r>
      </w:smartTag>
      <w:r w:rsidR="00C05D53">
        <w:rPr>
          <w:lang w:eastAsia="en-GB"/>
        </w:rPr>
        <w:t xml:space="preserve">, Ramallah and </w:t>
      </w:r>
      <w:smartTag w:uri="urn:schemas-microsoft-com:office:smarttags" w:element="place">
        <w:smartTag w:uri="urn:schemas-microsoft-com:office:smarttags" w:element="City">
          <w:r w:rsidR="00C05D53">
            <w:rPr>
              <w:lang w:eastAsia="en-GB"/>
            </w:rPr>
            <w:t>Hebron</w:t>
          </w:r>
        </w:smartTag>
      </w:smartTag>
      <w:r w:rsidR="00C05D53">
        <w:rPr>
          <w:lang w:eastAsia="en-GB"/>
        </w:rPr>
        <w:t xml:space="preserve"> governorates. Settler violence is reinforced by a lack of accountability and the related failure of Israeli law enforcement forces to protect vulnerable Palestinian communities</w:t>
      </w:r>
      <w:r w:rsidR="00F623EC">
        <w:rPr>
          <w:lang w:eastAsia="en-GB"/>
        </w:rPr>
        <w:t xml:space="preserve"> (</w:t>
      </w:r>
      <w:r w:rsidR="00F623EC">
        <w:t>A/68/513, paras. 42-52)</w:t>
      </w:r>
      <w:r w:rsidR="00C05D53">
        <w:rPr>
          <w:lang w:eastAsia="en-GB"/>
        </w:rPr>
        <w:t xml:space="preserve">. </w:t>
      </w:r>
    </w:p>
    <w:p w:rsidR="00C05D53" w:rsidRDefault="00C05D53" w:rsidP="00C05D53">
      <w:pPr>
        <w:pStyle w:val="SingleTxtG"/>
        <w:numPr>
          <w:ilvl w:val="0"/>
          <w:numId w:val="10"/>
        </w:numPr>
        <w:ind w:left="1134" w:firstLine="0"/>
        <w:rPr>
          <w:lang w:eastAsia="en-GB"/>
        </w:rPr>
      </w:pPr>
      <w:r>
        <w:rPr>
          <w:lang w:eastAsia="en-GB"/>
        </w:rPr>
        <w:t>Housing demolitions and displacement of Palestinian communities also kept up with the settlement boom in 2013. From January to October 2013, 533 Palestinian homes and livelihood structures were demolished, including 205 residential structures</w:t>
      </w:r>
      <w:r w:rsidR="00F623EC">
        <w:rPr>
          <w:lang w:eastAsia="en-GB"/>
        </w:rPr>
        <w:t>,</w:t>
      </w:r>
      <w:r>
        <w:rPr>
          <w:lang w:eastAsia="en-GB"/>
        </w:rPr>
        <w:t xml:space="preserve"> displacing 969 people, including 441 children. International donor-funded structures, paid for by taxpayers around the world</w:t>
      </w:r>
      <w:r w:rsidR="00F623EC">
        <w:rPr>
          <w:lang w:eastAsia="en-GB"/>
        </w:rPr>
        <w:t>,</w:t>
      </w:r>
      <w:r>
        <w:rPr>
          <w:lang w:eastAsia="en-GB"/>
        </w:rPr>
        <w:t xml:space="preserve"> were not spared from demolition, and 96 donor</w:t>
      </w:r>
      <w:r w:rsidR="00F623EC">
        <w:rPr>
          <w:lang w:eastAsia="en-GB"/>
        </w:rPr>
        <w:t>-</w:t>
      </w:r>
      <w:r>
        <w:rPr>
          <w:lang w:eastAsia="en-GB"/>
        </w:rPr>
        <w:t xml:space="preserve">funded structures, including residential, livestock-related and water and sanitation facilities in the </w:t>
      </w:r>
      <w:smartTag w:uri="urn:schemas-microsoft-com:office:smarttags" w:element="place">
        <w:r>
          <w:rPr>
            <w:lang w:eastAsia="en-GB"/>
          </w:rPr>
          <w:t>West Bank</w:t>
        </w:r>
      </w:smartTag>
      <w:r>
        <w:rPr>
          <w:lang w:eastAsia="en-GB"/>
        </w:rPr>
        <w:t xml:space="preserve"> were demolished by Israeli authorities. </w:t>
      </w:r>
    </w:p>
    <w:p w:rsidR="00C05D53" w:rsidRDefault="00C05D53" w:rsidP="00C05D53">
      <w:pPr>
        <w:pStyle w:val="SingleTxtG"/>
        <w:numPr>
          <w:ilvl w:val="0"/>
          <w:numId w:val="10"/>
        </w:numPr>
        <w:ind w:left="1134" w:firstLine="0"/>
        <w:rPr>
          <w:lang w:eastAsia="en-GB"/>
        </w:rPr>
      </w:pPr>
      <w:r>
        <w:rPr>
          <w:lang w:eastAsia="en-GB"/>
        </w:rPr>
        <w:t>Herding communities living in small villages in Area</w:t>
      </w:r>
      <w:r w:rsidR="00096528">
        <w:rPr>
          <w:lang w:eastAsia="en-GB"/>
        </w:rPr>
        <w:t> </w:t>
      </w:r>
      <w:r>
        <w:rPr>
          <w:lang w:eastAsia="en-GB"/>
        </w:rPr>
        <w:t xml:space="preserve">C have been particularly vulnerable to </w:t>
      </w:r>
      <w:r w:rsidR="001C5104">
        <w:rPr>
          <w:lang w:eastAsia="en-GB"/>
        </w:rPr>
        <w:t xml:space="preserve">these </w:t>
      </w:r>
      <w:r>
        <w:rPr>
          <w:lang w:eastAsia="en-GB"/>
        </w:rPr>
        <w:t xml:space="preserve">Israeli practices. In 2013, the United Nations High Commissioner for Human Rights twice spoke out against the demolition of at least three Bedouin and herder communities in the northern </w:t>
      </w:r>
      <w:smartTag w:uri="urn:schemas-microsoft-com:office:smarttags" w:element="place">
        <w:smartTag w:uri="urn:schemas-microsoft-com:office:smarttags" w:element="PlaceName">
          <w:r>
            <w:rPr>
              <w:lang w:eastAsia="en-GB"/>
            </w:rPr>
            <w:t>Jordan</w:t>
          </w:r>
        </w:smartTag>
        <w:r>
          <w:rPr>
            <w:lang w:eastAsia="en-GB"/>
          </w:rPr>
          <w:t xml:space="preserve"> </w:t>
        </w:r>
        <w:smartTag w:uri="urn:schemas-microsoft-com:office:smarttags" w:element="PlaceName">
          <w:r>
            <w:rPr>
              <w:lang w:eastAsia="en-GB"/>
            </w:rPr>
            <w:t>Valley</w:t>
          </w:r>
        </w:smartTag>
      </w:smartTag>
      <w:r>
        <w:rPr>
          <w:lang w:eastAsia="en-GB"/>
        </w:rPr>
        <w:t>.</w:t>
      </w:r>
      <w:r>
        <w:rPr>
          <w:rStyle w:val="FootnoteReference"/>
          <w:lang w:eastAsia="en-GB"/>
        </w:rPr>
        <w:footnoteReference w:id="31"/>
      </w:r>
      <w:r>
        <w:rPr>
          <w:lang w:eastAsia="en-GB"/>
        </w:rPr>
        <w:t xml:space="preserve"> </w:t>
      </w:r>
      <w:r w:rsidR="00151B49">
        <w:rPr>
          <w:lang w:eastAsia="en-GB"/>
        </w:rPr>
        <w:t>V</w:t>
      </w:r>
      <w:r>
        <w:rPr>
          <w:lang w:eastAsia="en-GB"/>
        </w:rPr>
        <w:t>iolations</w:t>
      </w:r>
      <w:r w:rsidR="00151B49">
        <w:rPr>
          <w:lang w:eastAsia="en-GB"/>
        </w:rPr>
        <w:t xml:space="preserve"> by </w:t>
      </w:r>
      <w:smartTag w:uri="urn:schemas-microsoft-com:office:smarttags" w:element="country-region">
        <w:smartTag w:uri="urn:schemas-microsoft-com:office:smarttags" w:element="place">
          <w:r w:rsidR="00151B49">
            <w:rPr>
              <w:lang w:eastAsia="en-GB"/>
            </w:rPr>
            <w:t>Israel</w:t>
          </w:r>
        </w:smartTag>
      </w:smartTag>
      <w:r>
        <w:rPr>
          <w:lang w:eastAsia="en-GB"/>
        </w:rPr>
        <w:t xml:space="preserve"> of international law extend to actively preventing the provision of urgent humanitarian assistance from the international community to the affected Palestinian communities.</w:t>
      </w:r>
      <w:r>
        <w:rPr>
          <w:rStyle w:val="FootnoteReference"/>
          <w:lang w:eastAsia="en-GB"/>
        </w:rPr>
        <w:footnoteReference w:id="32"/>
      </w:r>
    </w:p>
    <w:p w:rsidR="00C05D53" w:rsidRPr="00F355D0" w:rsidRDefault="00C05D53" w:rsidP="00B577E3">
      <w:pPr>
        <w:pStyle w:val="H23G"/>
        <w:rPr>
          <w:lang w:eastAsia="en-GB"/>
        </w:rPr>
      </w:pPr>
      <w:r>
        <w:rPr>
          <w:lang w:eastAsia="en-GB"/>
        </w:rPr>
        <w:tab/>
      </w:r>
      <w:r>
        <w:rPr>
          <w:lang w:eastAsia="en-GB"/>
        </w:rPr>
        <w:tab/>
      </w:r>
      <w:r w:rsidRPr="00F355D0">
        <w:rPr>
          <w:lang w:eastAsia="en-GB"/>
        </w:rPr>
        <w:t>The future of outposts</w:t>
      </w:r>
    </w:p>
    <w:p w:rsidR="00C05D53" w:rsidRDefault="00C05D53" w:rsidP="00C05D53">
      <w:pPr>
        <w:pStyle w:val="SingleTxtG"/>
        <w:numPr>
          <w:ilvl w:val="0"/>
          <w:numId w:val="10"/>
        </w:numPr>
        <w:ind w:left="1134" w:firstLine="0"/>
        <w:rPr>
          <w:lang w:eastAsia="en-GB"/>
        </w:rPr>
      </w:pPr>
      <w:r>
        <w:rPr>
          <w:lang w:eastAsia="en-GB"/>
        </w:rPr>
        <w:t>In July 2012, the</w:t>
      </w:r>
      <w:r w:rsidR="0075283C">
        <w:rPr>
          <w:lang w:eastAsia="en-GB"/>
        </w:rPr>
        <w:t xml:space="preserve"> Government</w:t>
      </w:r>
      <w:r w:rsidR="0000659D">
        <w:rPr>
          <w:lang w:eastAsia="en-GB"/>
        </w:rPr>
        <w:t>-</w:t>
      </w:r>
      <w:r w:rsidR="0075283C">
        <w:rPr>
          <w:lang w:eastAsia="en-GB"/>
        </w:rPr>
        <w:t>appointed</w:t>
      </w:r>
      <w:r>
        <w:rPr>
          <w:lang w:eastAsia="en-GB"/>
        </w:rPr>
        <w:t xml:space="preserve"> </w:t>
      </w:r>
      <w:r w:rsidR="006211BA">
        <w:rPr>
          <w:lang w:eastAsia="en-GB"/>
        </w:rPr>
        <w:t>c</w:t>
      </w:r>
      <w:r>
        <w:rPr>
          <w:lang w:eastAsia="en-GB"/>
        </w:rPr>
        <w:t xml:space="preserve">ommittee to </w:t>
      </w:r>
      <w:r w:rsidR="006211BA">
        <w:rPr>
          <w:lang w:eastAsia="en-GB"/>
        </w:rPr>
        <w:t>e</w:t>
      </w:r>
      <w:r>
        <w:rPr>
          <w:lang w:eastAsia="en-GB"/>
        </w:rPr>
        <w:t xml:space="preserve">xamine the </w:t>
      </w:r>
      <w:r w:rsidR="006211BA">
        <w:rPr>
          <w:lang w:eastAsia="en-GB"/>
        </w:rPr>
        <w:t>s</w:t>
      </w:r>
      <w:r>
        <w:rPr>
          <w:lang w:eastAsia="en-GB"/>
        </w:rPr>
        <w:t xml:space="preserve">tate of </w:t>
      </w:r>
      <w:r w:rsidR="006211BA">
        <w:rPr>
          <w:lang w:eastAsia="en-GB"/>
        </w:rPr>
        <w:t>c</w:t>
      </w:r>
      <w:r>
        <w:rPr>
          <w:lang w:eastAsia="en-GB"/>
        </w:rPr>
        <w:t>onstruction in the West Bank</w:t>
      </w:r>
      <w:r w:rsidR="00DE4BE0">
        <w:rPr>
          <w:lang w:eastAsia="en-GB"/>
        </w:rPr>
        <w:t>,</w:t>
      </w:r>
      <w:r w:rsidR="00FE5C3F">
        <w:rPr>
          <w:lang w:eastAsia="en-GB"/>
        </w:rPr>
        <w:t xml:space="preserve"> </w:t>
      </w:r>
      <w:r>
        <w:rPr>
          <w:lang w:eastAsia="en-GB"/>
        </w:rPr>
        <w:t xml:space="preserve"> chaired by Supreme Court Justice (Ret.) Edmund Levy (the Levy Committee), issued its report on the legal status of Israeli settlements in the West Bank and</w:t>
      </w:r>
      <w:r w:rsidR="000E1BF1">
        <w:rPr>
          <w:lang w:eastAsia="en-GB"/>
        </w:rPr>
        <w:t>,</w:t>
      </w:r>
      <w:r>
        <w:rPr>
          <w:lang w:eastAsia="en-GB"/>
        </w:rPr>
        <w:t xml:space="preserve"> in particular, set forth recommended steps to regularize the construction of </w:t>
      </w:r>
      <w:r w:rsidR="000E1BF1">
        <w:rPr>
          <w:lang w:eastAsia="en-GB"/>
        </w:rPr>
        <w:t>“</w:t>
      </w:r>
      <w:r>
        <w:rPr>
          <w:lang w:eastAsia="en-GB"/>
        </w:rPr>
        <w:t>illegal settlements</w:t>
      </w:r>
      <w:r w:rsidR="000E1BF1">
        <w:rPr>
          <w:lang w:eastAsia="en-GB"/>
        </w:rPr>
        <w:t>”</w:t>
      </w:r>
      <w:r>
        <w:rPr>
          <w:lang w:eastAsia="en-GB"/>
        </w:rPr>
        <w:t xml:space="preserve"> (outposts) in the West Bank (currently numbering over 100).</w:t>
      </w:r>
      <w:r w:rsidRPr="00385ED0">
        <w:rPr>
          <w:sz w:val="18"/>
          <w:vertAlign w:val="superscript"/>
          <w:lang w:eastAsia="en-GB"/>
        </w:rPr>
        <w:t xml:space="preserve"> </w:t>
      </w:r>
      <w:r>
        <w:rPr>
          <w:lang w:eastAsia="en-GB"/>
        </w:rPr>
        <w:t xml:space="preserve">It concluded that the international laws of occupation, including the Fourth Geneva Convention, did not apply to Israel’s unique situation in Judea and Samaria (the name given the West Bank in internal Israeli discourse and signalling a claimed biblical attachment), and that Israelis had the legal right to settle in the West Bank despite the international consensus. </w:t>
      </w:r>
    </w:p>
    <w:p w:rsidR="00C05D53" w:rsidRDefault="00C05D53" w:rsidP="00C05D53">
      <w:pPr>
        <w:pStyle w:val="SingleTxtG"/>
        <w:numPr>
          <w:ilvl w:val="0"/>
          <w:numId w:val="10"/>
        </w:numPr>
        <w:ind w:left="1134" w:firstLine="0"/>
        <w:rPr>
          <w:lang w:eastAsia="en-GB"/>
        </w:rPr>
      </w:pPr>
      <w:r>
        <w:rPr>
          <w:lang w:eastAsia="en-GB"/>
        </w:rPr>
        <w:t xml:space="preserve">The </w:t>
      </w:r>
      <w:r w:rsidR="000E1BF1">
        <w:rPr>
          <w:lang w:eastAsia="en-GB"/>
        </w:rPr>
        <w:t xml:space="preserve">conclusions of the </w:t>
      </w:r>
      <w:r>
        <w:rPr>
          <w:lang w:eastAsia="en-GB"/>
        </w:rPr>
        <w:t xml:space="preserve">Levy Committee not only reflected disregard of international law but also set forth a quasi-legal retroactive endorsement of outposts, </w:t>
      </w:r>
      <w:r w:rsidR="006F385C">
        <w:rPr>
          <w:lang w:eastAsia="en-GB"/>
        </w:rPr>
        <w:t>formally</w:t>
      </w:r>
      <w:r>
        <w:rPr>
          <w:lang w:eastAsia="en-GB"/>
        </w:rPr>
        <w:t xml:space="preserve"> unauthorized </w:t>
      </w:r>
      <w:r w:rsidR="006F385C">
        <w:rPr>
          <w:lang w:eastAsia="en-GB"/>
        </w:rPr>
        <w:t>under</w:t>
      </w:r>
      <w:r>
        <w:rPr>
          <w:lang w:eastAsia="en-GB"/>
        </w:rPr>
        <w:t xml:space="preserve"> Israeli </w:t>
      </w:r>
      <w:r w:rsidR="006F385C">
        <w:rPr>
          <w:lang w:eastAsia="en-GB"/>
        </w:rPr>
        <w:t>law</w:t>
      </w:r>
      <w:r>
        <w:rPr>
          <w:lang w:eastAsia="en-GB"/>
        </w:rPr>
        <w:t>. In fact, the Committee determined that existing outposts were “</w:t>
      </w:r>
      <w:r w:rsidRPr="00B54EFC">
        <w:rPr>
          <w:lang w:eastAsia="en-GB"/>
        </w:rPr>
        <w:t>carried out with the knowledge, encouragement and tacit agreement of the most senior political level</w:t>
      </w:r>
      <w:r>
        <w:rPr>
          <w:lang w:eastAsia="en-GB"/>
        </w:rPr>
        <w:t>,</w:t>
      </w:r>
      <w:r w:rsidRPr="00B54EFC">
        <w:rPr>
          <w:lang w:eastAsia="en-GB"/>
        </w:rPr>
        <w:t xml:space="preserve"> government ministers and the Prime Minister, and therefore such conduct is to be seen as implied agreement</w:t>
      </w:r>
      <w:r>
        <w:rPr>
          <w:lang w:eastAsia="en-GB"/>
        </w:rPr>
        <w:t>”</w:t>
      </w:r>
      <w:r w:rsidRPr="00B54EFC">
        <w:rPr>
          <w:lang w:eastAsia="en-GB"/>
        </w:rPr>
        <w:t>.</w:t>
      </w:r>
      <w:r w:rsidRPr="003E4C22">
        <w:rPr>
          <w:sz w:val="18"/>
          <w:vertAlign w:val="superscript"/>
          <w:lang w:eastAsia="en-GB"/>
        </w:rPr>
        <w:footnoteReference w:id="33"/>
      </w:r>
      <w:r>
        <w:rPr>
          <w:lang w:eastAsia="en-GB"/>
        </w:rPr>
        <w:t xml:space="preserve"> A previous report of 2005 by </w:t>
      </w:r>
      <w:r>
        <w:t xml:space="preserve">Talia Sasson, a former </w:t>
      </w:r>
      <w:r w:rsidR="000B3CD5">
        <w:t>C</w:t>
      </w:r>
      <w:r>
        <w:t xml:space="preserve">hief </w:t>
      </w:r>
      <w:r w:rsidR="000B3CD5">
        <w:t>S</w:t>
      </w:r>
      <w:r>
        <w:t xml:space="preserve">tate </w:t>
      </w:r>
      <w:r w:rsidR="000B3CD5">
        <w:t>P</w:t>
      </w:r>
      <w:r>
        <w:t>rosecutor</w:t>
      </w:r>
      <w:r w:rsidR="00E62757">
        <w:t>,</w:t>
      </w:r>
      <w:r>
        <w:rPr>
          <w:lang w:eastAsia="en-GB"/>
        </w:rPr>
        <w:t xml:space="preserve"> concerning the illegal outposts had not gone so far as to implicate the senior</w:t>
      </w:r>
      <w:r w:rsidR="00E62757">
        <w:rPr>
          <w:lang w:eastAsia="en-GB"/>
        </w:rPr>
        <w:t>-</w:t>
      </w:r>
      <w:r>
        <w:rPr>
          <w:lang w:eastAsia="en-GB"/>
        </w:rPr>
        <w:t xml:space="preserve">most political echelon of the country, but had found the </w:t>
      </w:r>
      <w:r>
        <w:t xml:space="preserve">World Zionist Organization (fully funded from the State Treasury), the Ministry of Construction and Housing, the Civil Administration in Judea and Samaria, and the </w:t>
      </w:r>
      <w:r w:rsidRPr="00FA5EA8">
        <w:rPr>
          <w:bCs/>
        </w:rPr>
        <w:t xml:space="preserve">Assistant to </w:t>
      </w:r>
      <w:r w:rsidR="00E62757">
        <w:rPr>
          <w:bCs/>
        </w:rPr>
        <w:t xml:space="preserve">the </w:t>
      </w:r>
      <w:r w:rsidRPr="00FA5EA8">
        <w:rPr>
          <w:bCs/>
        </w:rPr>
        <w:t>Defense Minister</w:t>
      </w:r>
      <w:r>
        <w:rPr>
          <w:bCs/>
        </w:rPr>
        <w:t xml:space="preserve"> complicit in the establishment of new </w:t>
      </w:r>
      <w:r>
        <w:t>unauthorized outposts</w:t>
      </w:r>
      <w:r w:rsidR="000B3CD5">
        <w:t>,</w:t>
      </w:r>
      <w:r>
        <w:t xml:space="preserve"> and exposed an </w:t>
      </w:r>
      <w:r>
        <w:lastRenderedPageBreak/>
        <w:t>unelected bureaucracy in charge of creating new outposts without political authorization or oversight.</w:t>
      </w:r>
      <w:r>
        <w:rPr>
          <w:rStyle w:val="FootnoteReference"/>
          <w:lang w:eastAsia="en-GB"/>
        </w:rPr>
        <w:footnoteReference w:id="34"/>
      </w:r>
      <w:r>
        <w:t xml:space="preserve"> </w:t>
      </w:r>
    </w:p>
    <w:p w:rsidR="00C05D53" w:rsidRDefault="00C05D53" w:rsidP="00C05D53">
      <w:pPr>
        <w:pStyle w:val="SingleTxtG"/>
        <w:numPr>
          <w:ilvl w:val="0"/>
          <w:numId w:val="10"/>
        </w:numPr>
        <w:ind w:left="1134" w:firstLine="0"/>
        <w:rPr>
          <w:lang w:eastAsia="en-GB"/>
        </w:rPr>
      </w:pPr>
      <w:r>
        <w:t>The Special Rapporteur notes that while Sasson’s report labelled the outposts as illegal under Israeli law and recommended their dismantlement, developments on the ground since then have shown that successive Israeli Gover</w:t>
      </w:r>
      <w:r w:rsidR="0012756A">
        <w:t xml:space="preserve">nments preferred to follow the </w:t>
      </w:r>
      <w:r>
        <w:t>approach endorsed post</w:t>
      </w:r>
      <w:r w:rsidR="00E62757">
        <w:t xml:space="preserve"> </w:t>
      </w:r>
      <w:r>
        <w:t xml:space="preserve">facto by the Levy Committee. Of 1,708 units constructed in </w:t>
      </w:r>
      <w:smartTag w:uri="urn:schemas-microsoft-com:office:smarttags" w:element="place">
        <w:r>
          <w:t>West Bank</w:t>
        </w:r>
      </w:smartTag>
      <w:r>
        <w:t xml:space="preserve"> settlements in the first half of 2013, 180 units were located in outposts</w:t>
      </w:r>
      <w:r w:rsidR="00E62757">
        <w:t xml:space="preserve"> (</w:t>
      </w:r>
      <w:r w:rsidR="004A7CD5">
        <w:t xml:space="preserve">see </w:t>
      </w:r>
      <w:r w:rsidR="00E62757">
        <w:t>A/HRC/25/38)</w:t>
      </w:r>
      <w:r>
        <w:t xml:space="preserve">. In May 2013, </w:t>
      </w:r>
      <w:smartTag w:uri="urn:schemas-microsoft-com:office:smarttags" w:element="country-region">
        <w:r>
          <w:t>Israel</w:t>
        </w:r>
      </w:smartTag>
      <w:r>
        <w:t xml:space="preserve"> announced plans to legalize four outposts in the </w:t>
      </w:r>
      <w:smartTag w:uri="urn:schemas-microsoft-com:office:smarttags" w:element="place">
        <w:r>
          <w:t>West Bank</w:t>
        </w:r>
      </w:smartTag>
      <w:r>
        <w:t xml:space="preserve"> (in other words to recogni</w:t>
      </w:r>
      <w:r w:rsidR="000F5833">
        <w:t>z</w:t>
      </w:r>
      <w:r>
        <w:t>e them as official settlements)</w:t>
      </w:r>
      <w:r w:rsidR="005A4DB3" w:rsidRPr="007E626D">
        <w:t>.</w:t>
      </w:r>
      <w:r>
        <w:rPr>
          <w:rStyle w:val="FootnoteReference"/>
        </w:rPr>
        <w:footnoteReference w:id="35"/>
      </w:r>
      <w:r>
        <w:t xml:space="preserve"> While the Netanyahu Government never adopted the Levy report, the Knesset Constitution, Law and Justice </w:t>
      </w:r>
      <w:r w:rsidR="000F5833">
        <w:t xml:space="preserve">Committee </w:t>
      </w:r>
      <w:r>
        <w:t xml:space="preserve">is expected to debate the report early </w:t>
      </w:r>
      <w:r w:rsidR="00805F88">
        <w:t xml:space="preserve">in </w:t>
      </w:r>
      <w:r>
        <w:t xml:space="preserve">December 2013, indicating that it is being taken seriously at the highest levels in </w:t>
      </w:r>
      <w:smartTag w:uri="urn:schemas-microsoft-com:office:smarttags" w:element="country-region">
        <w:smartTag w:uri="urn:schemas-microsoft-com:office:smarttags" w:element="place">
          <w:r>
            <w:t>Israel</w:t>
          </w:r>
        </w:smartTag>
      </w:smartTag>
      <w:r>
        <w:t>.</w:t>
      </w:r>
      <w:r>
        <w:rPr>
          <w:rStyle w:val="FootnoteReference"/>
        </w:rPr>
        <w:footnoteReference w:id="36"/>
      </w:r>
      <w:r>
        <w:t xml:space="preserve"> </w:t>
      </w:r>
    </w:p>
    <w:p w:rsidR="00C05D53" w:rsidRDefault="007F5C54" w:rsidP="00B577E3">
      <w:pPr>
        <w:pStyle w:val="H23G"/>
        <w:rPr>
          <w:lang w:eastAsia="en-GB"/>
        </w:rPr>
      </w:pPr>
      <w:r>
        <w:rPr>
          <w:lang w:eastAsia="en-GB"/>
        </w:rPr>
        <w:tab/>
      </w:r>
      <w:r>
        <w:rPr>
          <w:lang w:eastAsia="en-GB"/>
        </w:rPr>
        <w:tab/>
      </w:r>
      <w:r w:rsidR="005A4DB3">
        <w:rPr>
          <w:lang w:eastAsia="en-GB"/>
        </w:rPr>
        <w:t>“</w:t>
      </w:r>
      <w:r w:rsidR="00C05D53">
        <w:rPr>
          <w:lang w:eastAsia="en-GB"/>
        </w:rPr>
        <w:t>Demographic balance</w:t>
      </w:r>
      <w:r w:rsidR="005A4DB3">
        <w:rPr>
          <w:lang w:eastAsia="en-GB"/>
        </w:rPr>
        <w:t>”</w:t>
      </w:r>
      <w:r w:rsidR="00C05D53">
        <w:rPr>
          <w:lang w:eastAsia="en-GB"/>
        </w:rPr>
        <w:t xml:space="preserve"> in </w:t>
      </w:r>
      <w:smartTag w:uri="urn:schemas-microsoft-com:office:smarttags" w:element="place">
        <w:r w:rsidR="00C05D53">
          <w:rPr>
            <w:lang w:eastAsia="en-GB"/>
          </w:rPr>
          <w:t>East Jerusalem</w:t>
        </w:r>
      </w:smartTag>
      <w:r w:rsidR="00C05D53">
        <w:rPr>
          <w:lang w:eastAsia="en-GB"/>
        </w:rPr>
        <w:t xml:space="preserve"> </w:t>
      </w:r>
    </w:p>
    <w:p w:rsidR="00C05D53" w:rsidRDefault="00C05D53" w:rsidP="00C05D53">
      <w:pPr>
        <w:pStyle w:val="SingleTxtG"/>
        <w:numPr>
          <w:ilvl w:val="0"/>
          <w:numId w:val="10"/>
        </w:numPr>
        <w:ind w:left="1134" w:firstLine="0"/>
      </w:pPr>
      <w:r>
        <w:rPr>
          <w:lang w:eastAsia="en-GB"/>
        </w:rPr>
        <w:t xml:space="preserve">The status of </w:t>
      </w:r>
      <w:smartTag w:uri="urn:schemas-microsoft-com:office:smarttags" w:element="place">
        <w:r>
          <w:rPr>
            <w:lang w:eastAsia="en-GB"/>
          </w:rPr>
          <w:t>East Jerusalem</w:t>
        </w:r>
      </w:smartTag>
      <w:r>
        <w:rPr>
          <w:lang w:eastAsia="en-GB"/>
        </w:rPr>
        <w:t xml:space="preserve"> remains one of the most contentious issues to be resolved in the Israeli-Palestinian conflict. It is worth recalling that </w:t>
      </w:r>
      <w:r w:rsidR="00805F88">
        <w:rPr>
          <w:lang w:eastAsia="en-GB"/>
        </w:rPr>
        <w:t xml:space="preserve">in its </w:t>
      </w:r>
      <w:r>
        <w:rPr>
          <w:lang w:eastAsia="en-GB"/>
        </w:rPr>
        <w:t>resolution 478</w:t>
      </w:r>
      <w:r w:rsidR="00805F88">
        <w:rPr>
          <w:lang w:eastAsia="en-GB"/>
        </w:rPr>
        <w:t> </w:t>
      </w:r>
      <w:r>
        <w:rPr>
          <w:lang w:eastAsia="en-GB"/>
        </w:rPr>
        <w:t>(1980)</w:t>
      </w:r>
      <w:r w:rsidR="00805F88">
        <w:rPr>
          <w:lang w:eastAsia="en-GB"/>
        </w:rPr>
        <w:t>, the Security Council</w:t>
      </w:r>
      <w:r>
        <w:rPr>
          <w:lang w:eastAsia="en-GB"/>
        </w:rPr>
        <w:t xml:space="preserve"> affirmed that </w:t>
      </w:r>
      <w:r w:rsidR="002A7E1B">
        <w:rPr>
          <w:lang w:eastAsia="en-GB"/>
        </w:rPr>
        <w:t>the</w:t>
      </w:r>
      <w:r>
        <w:rPr>
          <w:lang w:eastAsia="en-GB"/>
        </w:rPr>
        <w:t xml:space="preserve"> Basic Law</w:t>
      </w:r>
      <w:r w:rsidR="002A7E1B">
        <w:rPr>
          <w:lang w:eastAsia="en-GB"/>
        </w:rPr>
        <w:t xml:space="preserve"> of Israel</w:t>
      </w:r>
      <w:r>
        <w:rPr>
          <w:lang w:eastAsia="en-GB"/>
        </w:rPr>
        <w:t xml:space="preserve"> proclaiming Jerusalem, including the annexed area, as the capital of Israel constitutes a violation of international law and d</w:t>
      </w:r>
      <w:r w:rsidR="002A7E1B">
        <w:rPr>
          <w:lang w:eastAsia="en-GB"/>
        </w:rPr>
        <w:t>oes</w:t>
      </w:r>
      <w:r>
        <w:rPr>
          <w:lang w:eastAsia="en-GB"/>
        </w:rPr>
        <w:t xml:space="preserve"> not affect the application of the Fourth Geneva Convention in Palestine,</w:t>
      </w:r>
      <w:r w:rsidR="00BF4B48">
        <w:rPr>
          <w:lang w:eastAsia="en-GB"/>
        </w:rPr>
        <w:t xml:space="preserve"> </w:t>
      </w:r>
      <w:r>
        <w:rPr>
          <w:lang w:eastAsia="en-GB"/>
        </w:rPr>
        <w:t xml:space="preserve">including East Jerusalem. </w:t>
      </w:r>
    </w:p>
    <w:p w:rsidR="00C05D53" w:rsidRDefault="00C05D53" w:rsidP="005A4DB3">
      <w:pPr>
        <w:pStyle w:val="SingleTxtG"/>
        <w:numPr>
          <w:ilvl w:val="0"/>
          <w:numId w:val="10"/>
        </w:numPr>
        <w:ind w:left="1134" w:firstLine="0"/>
      </w:pPr>
      <w:r>
        <w:rPr>
          <w:lang w:eastAsia="en-GB"/>
        </w:rPr>
        <w:t xml:space="preserve">For Palestinians living in </w:t>
      </w:r>
      <w:smartTag w:uri="urn:schemas-microsoft-com:office:smarttags" w:element="place">
        <w:r>
          <w:rPr>
            <w:lang w:eastAsia="en-GB"/>
          </w:rPr>
          <w:t>East Jerusalem</w:t>
        </w:r>
      </w:smartTag>
      <w:r>
        <w:rPr>
          <w:lang w:eastAsia="en-GB"/>
        </w:rPr>
        <w:t xml:space="preserve">, their situation would not be as precarious if, despite the illegality of annexation, they were treated equally and afforded access to quality education, health care and housing. Instead, Palestinians living in </w:t>
      </w:r>
      <w:smartTag w:uri="urn:schemas-microsoft-com:office:smarttags" w:element="place">
        <w:r>
          <w:rPr>
            <w:lang w:eastAsia="en-GB"/>
          </w:rPr>
          <w:t>East Jerusalem</w:t>
        </w:r>
      </w:smartTag>
      <w:r>
        <w:rPr>
          <w:lang w:eastAsia="en-GB"/>
        </w:rPr>
        <w:t xml:space="preserve"> are regarded </w:t>
      </w:r>
      <w:r w:rsidRPr="00610662">
        <w:rPr>
          <w:lang w:eastAsia="en-GB"/>
        </w:rPr>
        <w:t xml:space="preserve">as </w:t>
      </w:r>
      <w:r w:rsidR="005A4DB3" w:rsidRPr="00610662">
        <w:rPr>
          <w:lang w:eastAsia="en-GB"/>
        </w:rPr>
        <w:t>“</w:t>
      </w:r>
      <w:r w:rsidRPr="00610662">
        <w:rPr>
          <w:lang w:eastAsia="en-GB"/>
        </w:rPr>
        <w:t>permanent</w:t>
      </w:r>
      <w:r>
        <w:rPr>
          <w:lang w:eastAsia="en-GB"/>
        </w:rPr>
        <w:t xml:space="preserve"> residents</w:t>
      </w:r>
      <w:r w:rsidR="005A4DB3">
        <w:rPr>
          <w:lang w:eastAsia="en-GB"/>
        </w:rPr>
        <w:t>”</w:t>
      </w:r>
      <w:r>
        <w:rPr>
          <w:lang w:eastAsia="en-GB"/>
        </w:rPr>
        <w:t xml:space="preserve"> and subject to a gradual and bureaucratic process of ethnic cleansing.</w:t>
      </w:r>
      <w:r>
        <w:rPr>
          <w:rStyle w:val="FootnoteReference"/>
          <w:lang w:eastAsia="en-GB"/>
        </w:rPr>
        <w:footnoteReference w:id="37"/>
      </w:r>
      <w:r>
        <w:rPr>
          <w:lang w:eastAsia="en-GB"/>
        </w:rPr>
        <w:t xml:space="preserve"> This has consisted of revocation of residency permits, demolitions of residential structures built without Israeli permits (often virtually impossible to obtain)</w:t>
      </w:r>
      <w:r w:rsidR="005A4DB3">
        <w:rPr>
          <w:lang w:eastAsia="en-GB"/>
        </w:rPr>
        <w:t>,</w:t>
      </w:r>
      <w:r>
        <w:rPr>
          <w:rStyle w:val="FootnoteReference"/>
          <w:lang w:eastAsia="en-GB"/>
        </w:rPr>
        <w:footnoteReference w:id="38"/>
      </w:r>
      <w:r>
        <w:rPr>
          <w:lang w:eastAsia="en-GB"/>
        </w:rPr>
        <w:t xml:space="preserve"> and forced evictions of Palestinian families, in violation of the</w:t>
      </w:r>
      <w:r w:rsidR="00610662">
        <w:rPr>
          <w:lang w:eastAsia="en-GB"/>
        </w:rPr>
        <w:t xml:space="preserve"> </w:t>
      </w:r>
      <w:r>
        <w:rPr>
          <w:lang w:eastAsia="en-GB"/>
        </w:rPr>
        <w:t xml:space="preserve">basic right to adequate housing, enshrined in the International Covenant on Economic, Social and Cultural Rights. </w:t>
      </w:r>
    </w:p>
    <w:p w:rsidR="00C05D53" w:rsidRDefault="00C05D53" w:rsidP="005A4DB3">
      <w:pPr>
        <w:pStyle w:val="SingleTxtG"/>
        <w:numPr>
          <w:ilvl w:val="0"/>
          <w:numId w:val="10"/>
        </w:numPr>
        <w:ind w:left="1134" w:firstLine="0"/>
      </w:pPr>
      <w:r>
        <w:rPr>
          <w:lang w:eastAsia="en-GB"/>
        </w:rPr>
        <w:t xml:space="preserve">A 2013 report by the United Nations Conference on Trade and Development on the Palestinian economy in </w:t>
      </w:r>
      <w:smartTag w:uri="urn:schemas-microsoft-com:office:smarttags" w:element="place">
        <w:r>
          <w:rPr>
            <w:lang w:eastAsia="en-GB"/>
          </w:rPr>
          <w:t>East Jerusalem</w:t>
        </w:r>
      </w:smartTag>
      <w:r>
        <w:rPr>
          <w:lang w:eastAsia="en-GB"/>
        </w:rPr>
        <w:t xml:space="preserve"> detailed Israeli policies that have impeded the natural growth of the Palestinian economy. It also noted that Palestinians are made to pay high municipal taxes in return for poor services and disproportionately low public expenditure in </w:t>
      </w:r>
      <w:smartTag w:uri="urn:schemas-microsoft-com:office:smarttags" w:element="place">
        <w:r>
          <w:rPr>
            <w:lang w:eastAsia="en-GB"/>
          </w:rPr>
          <w:t>East Jerusalem</w:t>
        </w:r>
      </w:smartTag>
      <w:r>
        <w:rPr>
          <w:lang w:eastAsia="en-GB"/>
        </w:rPr>
        <w:t>.</w:t>
      </w:r>
      <w:r>
        <w:rPr>
          <w:rStyle w:val="FootnoteReference"/>
          <w:lang w:eastAsia="en-GB"/>
        </w:rPr>
        <w:footnoteReference w:id="39"/>
      </w:r>
      <w:r>
        <w:rPr>
          <w:lang w:eastAsia="en-GB"/>
        </w:rPr>
        <w:t xml:space="preserve"> This has been particularly evident with respect</w:t>
      </w:r>
      <w:r w:rsidR="00610662">
        <w:rPr>
          <w:lang w:eastAsia="en-GB"/>
        </w:rPr>
        <w:t xml:space="preserve"> </w:t>
      </w:r>
      <w:r>
        <w:rPr>
          <w:lang w:eastAsia="en-GB"/>
        </w:rPr>
        <w:t>to education, characteri</w:t>
      </w:r>
      <w:r w:rsidR="00915569">
        <w:rPr>
          <w:lang w:eastAsia="en-GB"/>
        </w:rPr>
        <w:t>z</w:t>
      </w:r>
      <w:r>
        <w:rPr>
          <w:lang w:eastAsia="en-GB"/>
        </w:rPr>
        <w:t xml:space="preserve">ed by </w:t>
      </w:r>
      <w:r w:rsidR="007E51F4">
        <w:rPr>
          <w:lang w:eastAsia="en-GB"/>
        </w:rPr>
        <w:t>a</w:t>
      </w:r>
      <w:r>
        <w:rPr>
          <w:lang w:eastAsia="en-GB"/>
        </w:rPr>
        <w:t xml:space="preserve"> shortage of classrooms, a high overall dropout rate of 13 per cent among Palestinian schools in East Jerusalem, and a general neglect of the Arab schooling system in comparison to their Jewish counterparts literally metres away in West</w:t>
      </w:r>
      <w:r w:rsidR="005A4DB3">
        <w:rPr>
          <w:lang w:eastAsia="en-GB"/>
        </w:rPr>
        <w:t> </w:t>
      </w:r>
      <w:r>
        <w:rPr>
          <w:lang w:eastAsia="en-GB"/>
        </w:rPr>
        <w:t>Jerusalem.</w:t>
      </w:r>
      <w:r>
        <w:rPr>
          <w:rStyle w:val="FootnoteReference"/>
          <w:lang w:eastAsia="en-GB"/>
        </w:rPr>
        <w:footnoteReference w:id="40"/>
      </w:r>
    </w:p>
    <w:p w:rsidR="00C05D53" w:rsidRDefault="00C05D53" w:rsidP="005A4DB3">
      <w:pPr>
        <w:pStyle w:val="SingleTxtG"/>
        <w:numPr>
          <w:ilvl w:val="0"/>
          <w:numId w:val="10"/>
        </w:numPr>
        <w:ind w:left="1134" w:firstLine="0"/>
      </w:pPr>
      <w:r>
        <w:rPr>
          <w:lang w:eastAsia="en-GB"/>
        </w:rPr>
        <w:t xml:space="preserve">The situation in East Jerusalem today is a microcosm of the fragmentation of territory taking place across the </w:t>
      </w:r>
      <w:smartTag w:uri="urn:schemas-microsoft-com:office:smarttags" w:element="place">
        <w:r>
          <w:rPr>
            <w:lang w:eastAsia="en-GB"/>
          </w:rPr>
          <w:t>West Bank</w:t>
        </w:r>
      </w:smartTag>
      <w:r>
        <w:rPr>
          <w:lang w:eastAsia="en-GB"/>
        </w:rPr>
        <w:t xml:space="preserve">. </w:t>
      </w:r>
      <w:smartTag w:uri="urn:schemas-microsoft-com:office:smarttags" w:element="country-region">
        <w:r>
          <w:rPr>
            <w:lang w:eastAsia="en-GB"/>
          </w:rPr>
          <w:t>Israel</w:t>
        </w:r>
      </w:smartTag>
      <w:r>
        <w:rPr>
          <w:lang w:eastAsia="en-GB"/>
        </w:rPr>
        <w:t xml:space="preserve"> actively seeks to undermine the Palestinian presence to serve its goal of preserving a Jewish majority in </w:t>
      </w:r>
      <w:smartTag w:uri="urn:schemas-microsoft-com:office:smarttags" w:element="place">
        <w:r>
          <w:rPr>
            <w:lang w:eastAsia="en-GB"/>
          </w:rPr>
          <w:t>East Jerusalem</w:t>
        </w:r>
      </w:smartTag>
      <w:r>
        <w:rPr>
          <w:lang w:eastAsia="en-GB"/>
        </w:rPr>
        <w:t xml:space="preserve">. </w:t>
      </w:r>
      <w:r>
        <w:rPr>
          <w:lang w:eastAsia="en-GB"/>
        </w:rPr>
        <w:lastRenderedPageBreak/>
        <w:t>This has been a policy of Israel</w:t>
      </w:r>
      <w:r w:rsidR="00805F88">
        <w:rPr>
          <w:lang w:eastAsia="en-GB"/>
        </w:rPr>
        <w:t xml:space="preserve"> for decades</w:t>
      </w:r>
      <w:r>
        <w:rPr>
          <w:lang w:eastAsia="en-GB"/>
        </w:rPr>
        <w:t>, acknowledged by the Jerusalem Municipality, to maintain a demographic balance of approximately 70 per cent Jewish to 30 per cent Palestinian in Jerusalem.</w:t>
      </w:r>
      <w:r>
        <w:rPr>
          <w:rStyle w:val="FootnoteReference"/>
          <w:lang w:eastAsia="en-GB"/>
        </w:rPr>
        <w:footnoteReference w:id="41"/>
      </w:r>
    </w:p>
    <w:p w:rsidR="00C05D53" w:rsidRDefault="00C05D53" w:rsidP="00C05D53">
      <w:pPr>
        <w:pStyle w:val="SingleTxtG"/>
        <w:numPr>
          <w:ilvl w:val="0"/>
          <w:numId w:val="10"/>
        </w:numPr>
        <w:ind w:left="1134" w:firstLine="0"/>
        <w:rPr>
          <w:lang w:eastAsia="en-GB"/>
        </w:rPr>
      </w:pPr>
      <w:r>
        <w:rPr>
          <w:lang w:eastAsia="en-GB"/>
        </w:rPr>
        <w:t xml:space="preserve">Since 1996, an estimated 11,023 Jerusalem Palestinians have lost their resident status and right to live in occupied </w:t>
      </w:r>
      <w:smartTag w:uri="urn:schemas-microsoft-com:office:smarttags" w:element="place">
        <w:r>
          <w:rPr>
            <w:lang w:eastAsia="en-GB"/>
          </w:rPr>
          <w:t>East Jerusalem</w:t>
        </w:r>
      </w:smartTag>
      <w:r>
        <w:rPr>
          <w:lang w:eastAsia="en-GB"/>
        </w:rPr>
        <w:t>.</w:t>
      </w:r>
      <w:r>
        <w:rPr>
          <w:rStyle w:val="FootnoteReference"/>
          <w:lang w:eastAsia="en-GB"/>
        </w:rPr>
        <w:footnoteReference w:id="42"/>
      </w:r>
      <w:r>
        <w:rPr>
          <w:lang w:eastAsia="en-GB"/>
        </w:rPr>
        <w:t xml:space="preserve"> During the period 2004</w:t>
      </w:r>
      <w:r w:rsidR="005828F7">
        <w:rPr>
          <w:lang w:eastAsia="en-GB"/>
        </w:rPr>
        <w:t>–</w:t>
      </w:r>
      <w:r>
        <w:rPr>
          <w:lang w:eastAsia="en-GB"/>
        </w:rPr>
        <w:t>2013, 4</w:t>
      </w:r>
      <w:r w:rsidR="004A7CD5">
        <w:rPr>
          <w:lang w:eastAsia="en-GB"/>
        </w:rPr>
        <w:t>92</w:t>
      </w:r>
      <w:r>
        <w:rPr>
          <w:lang w:eastAsia="en-GB"/>
        </w:rPr>
        <w:t xml:space="preserve"> housing units were demolished in </w:t>
      </w:r>
      <w:smartTag w:uri="urn:schemas-microsoft-com:office:smarttags" w:element="place">
        <w:r>
          <w:rPr>
            <w:lang w:eastAsia="en-GB"/>
          </w:rPr>
          <w:t>East Jerusalem</w:t>
        </w:r>
      </w:smartTag>
      <w:r w:rsidR="005828F7">
        <w:rPr>
          <w:lang w:eastAsia="en-GB"/>
        </w:rPr>
        <w:t>,</w:t>
      </w:r>
      <w:r>
        <w:rPr>
          <w:lang w:eastAsia="en-GB"/>
        </w:rPr>
        <w:t xml:space="preserve"> displacing 1,</w:t>
      </w:r>
      <w:r w:rsidR="004A7CD5">
        <w:rPr>
          <w:lang w:eastAsia="en-GB"/>
        </w:rPr>
        <w:t>943</w:t>
      </w:r>
      <w:r>
        <w:rPr>
          <w:lang w:eastAsia="en-GB"/>
        </w:rPr>
        <w:t xml:space="preserve"> Palestinians. These figures account only for officially demolished housing units and do not include homes demolished by some owners after receiving a demolition order to avoid perverse heavy municipal penalties and demolition costs associated with the destruction of their own homes.</w:t>
      </w:r>
      <w:r>
        <w:rPr>
          <w:rStyle w:val="FootnoteReference"/>
          <w:lang w:eastAsia="en-GB"/>
        </w:rPr>
        <w:footnoteReference w:id="43"/>
      </w:r>
      <w:r>
        <w:rPr>
          <w:lang w:eastAsia="en-GB"/>
        </w:rPr>
        <w:t xml:space="preserve"> </w:t>
      </w:r>
    </w:p>
    <w:p w:rsidR="00C05D53" w:rsidRDefault="00C05D53" w:rsidP="00C05D53">
      <w:pPr>
        <w:pStyle w:val="SingleTxtG"/>
        <w:numPr>
          <w:ilvl w:val="0"/>
          <w:numId w:val="10"/>
        </w:numPr>
        <w:ind w:left="1134" w:firstLine="0"/>
        <w:rPr>
          <w:lang w:eastAsia="en-GB"/>
        </w:rPr>
      </w:pPr>
      <w:r>
        <w:rPr>
          <w:lang w:eastAsia="en-GB"/>
        </w:rPr>
        <w:t xml:space="preserve">The most problematic plan advanced in East Jerusalem in recent years has been the expansion of settlements and infrastructure around Har Homa, Gilo and Givat Hamatos, as well as the E1 settlement bloc to the east, which threatens to cut off East Jerusalem from the rest of the </w:t>
      </w:r>
      <w:smartTag w:uri="urn:schemas-microsoft-com:office:smarttags" w:element="place">
        <w:r>
          <w:rPr>
            <w:lang w:eastAsia="en-GB"/>
          </w:rPr>
          <w:t>West Bank</w:t>
        </w:r>
      </w:smartTag>
      <w:r>
        <w:rPr>
          <w:lang w:eastAsia="en-GB"/>
        </w:rPr>
        <w:t>.</w:t>
      </w:r>
      <w:r>
        <w:rPr>
          <w:rStyle w:val="FootnoteReference"/>
          <w:lang w:eastAsia="en-GB"/>
        </w:rPr>
        <w:footnoteReference w:id="44"/>
      </w:r>
      <w:r>
        <w:rPr>
          <w:lang w:eastAsia="en-GB"/>
        </w:rPr>
        <w:t xml:space="preserve"> Eventual peace depends crucially on ensuring that Palestinian rights in </w:t>
      </w:r>
      <w:smartTag w:uri="urn:schemas-microsoft-com:office:smarttags" w:element="place">
        <w:r>
          <w:rPr>
            <w:lang w:eastAsia="en-GB"/>
          </w:rPr>
          <w:t>East Jerusalem</w:t>
        </w:r>
      </w:smartTag>
      <w:r>
        <w:rPr>
          <w:lang w:eastAsia="en-GB"/>
        </w:rPr>
        <w:t xml:space="preserve"> are not further jeopardized.</w:t>
      </w:r>
    </w:p>
    <w:p w:rsidR="00C05D53" w:rsidRDefault="00C05D53" w:rsidP="00B577E3">
      <w:pPr>
        <w:pStyle w:val="H23G"/>
        <w:rPr>
          <w:lang w:eastAsia="en-GB"/>
        </w:rPr>
      </w:pPr>
      <w:r>
        <w:rPr>
          <w:lang w:eastAsia="en-GB"/>
        </w:rPr>
        <w:tab/>
      </w:r>
      <w:r>
        <w:rPr>
          <w:lang w:eastAsia="en-GB"/>
        </w:rPr>
        <w:tab/>
        <w:t xml:space="preserve">Corporate complicity in international crimes </w:t>
      </w:r>
    </w:p>
    <w:p w:rsidR="00C05D53" w:rsidRDefault="00C05D53" w:rsidP="00C05D53">
      <w:pPr>
        <w:pStyle w:val="SingleTxtG"/>
        <w:numPr>
          <w:ilvl w:val="0"/>
          <w:numId w:val="10"/>
        </w:numPr>
        <w:ind w:left="1134" w:firstLine="0"/>
        <w:rPr>
          <w:lang w:eastAsia="en-GB"/>
        </w:rPr>
      </w:pPr>
      <w:r>
        <w:rPr>
          <w:lang w:eastAsia="en-GB"/>
        </w:rPr>
        <w:t>Over the past two years, the Special Rapporteur focused attention on companies involved in business and financial activities related to the Israeli settlement enterprise as well as the possibility of c</w:t>
      </w:r>
      <w:r>
        <w:t xml:space="preserve">orporate complicity in international crimes related to Israeli settlements in the West Bank, including </w:t>
      </w:r>
      <w:smartTag w:uri="urn:schemas-microsoft-com:office:smarttags" w:element="place">
        <w:r>
          <w:t>East Jerusalem</w:t>
        </w:r>
      </w:smartTag>
      <w:r>
        <w:t>.</w:t>
      </w:r>
      <w:r>
        <w:rPr>
          <w:rStyle w:val="FootnoteReference"/>
          <w:lang w:eastAsia="en-GB"/>
        </w:rPr>
        <w:footnoteReference w:id="45"/>
      </w:r>
    </w:p>
    <w:p w:rsidR="00C05D53" w:rsidRDefault="00C05D53" w:rsidP="00C05D53">
      <w:pPr>
        <w:pStyle w:val="SingleTxtG"/>
        <w:numPr>
          <w:ilvl w:val="0"/>
          <w:numId w:val="10"/>
        </w:numPr>
        <w:ind w:left="1134" w:firstLine="0"/>
        <w:rPr>
          <w:lang w:eastAsia="en-GB"/>
        </w:rPr>
      </w:pPr>
      <w:r>
        <w:t xml:space="preserve">The effort to focus on business activities in the settlements was made, in part, to bring a measure of accountability with respect to the </w:t>
      </w:r>
      <w:r w:rsidR="006F597C">
        <w:rPr>
          <w:rStyle w:val="lblnewstitle"/>
        </w:rPr>
        <w:t>emergent human rights obligations</w:t>
      </w:r>
      <w:r w:rsidR="007E51F4">
        <w:t xml:space="preserve"> </w:t>
      </w:r>
      <w:r>
        <w:t xml:space="preserve">of companies </w:t>
      </w:r>
      <w:r w:rsidRPr="00511053">
        <w:t xml:space="preserve">in conformity with international law </w:t>
      </w:r>
      <w:r>
        <w:t>and</w:t>
      </w:r>
      <w:r w:rsidRPr="00511053">
        <w:t xml:space="preserve"> the Guiding Principle</w:t>
      </w:r>
      <w:r>
        <w:t xml:space="preserve">s on Business and Human Rights. </w:t>
      </w:r>
      <w:r w:rsidR="00F95ECE">
        <w:t>T</w:t>
      </w:r>
      <w:r>
        <w:t xml:space="preserve">he Special Rapporteur’s intention was not only to provide a sound legal basis upon which to assess the complicity of businesses in international crimes related to the settlements, but also to clearly set out the risks and associated costs in terms of reputation, as well as the potential legal consequences of doing business in the settlements. </w:t>
      </w:r>
    </w:p>
    <w:p w:rsidR="00C05D53" w:rsidRDefault="00C05D53" w:rsidP="00C05D53">
      <w:pPr>
        <w:pStyle w:val="SingleTxtG"/>
        <w:numPr>
          <w:ilvl w:val="0"/>
          <w:numId w:val="10"/>
        </w:numPr>
        <w:ind w:left="1134" w:firstLine="0"/>
        <w:rPr>
          <w:lang w:eastAsia="en-GB"/>
        </w:rPr>
      </w:pPr>
      <w:r>
        <w:t xml:space="preserve">The responses received from some of the 13 companies analysed in an earlier report (A/67/379) were mixed. Nonetheless, there have been a number of recent developments in relation to the involvement of other businesses involved in the settlements to indicate that public pressure and media attention does bring some ethical dividends, and has encouraged </w:t>
      </w:r>
      <w:r w:rsidR="007134C9">
        <w:t>G</w:t>
      </w:r>
      <w:r>
        <w:t xml:space="preserve">overnments to be more vigilant. </w:t>
      </w:r>
    </w:p>
    <w:p w:rsidR="00C05D53" w:rsidRDefault="00C05D53" w:rsidP="00C05D53">
      <w:pPr>
        <w:pStyle w:val="SingleTxtG"/>
        <w:numPr>
          <w:ilvl w:val="0"/>
          <w:numId w:val="10"/>
        </w:numPr>
        <w:ind w:left="1134" w:firstLine="0"/>
        <w:rPr>
          <w:lang w:eastAsia="en-GB"/>
        </w:rPr>
      </w:pPr>
      <w:r>
        <w:t xml:space="preserve">Some positive developments in this regard include Royal HaskoningDHV, a Dutch company, which announced </w:t>
      </w:r>
      <w:r w:rsidR="009846BF">
        <w:t xml:space="preserve">in September 2013 </w:t>
      </w:r>
      <w:r>
        <w:t>its decision</w:t>
      </w:r>
      <w:r w:rsidR="009846BF">
        <w:t xml:space="preserve"> </w:t>
      </w:r>
      <w:r>
        <w:t xml:space="preserve">to terminate a contract with the </w:t>
      </w:r>
      <w:smartTag w:uri="urn:schemas-microsoft-com:office:smarttags" w:element="PlaceName">
        <w:r>
          <w:t>Jerusalem</w:t>
        </w:r>
      </w:smartTag>
      <w:r>
        <w:t xml:space="preserve"> </w:t>
      </w:r>
      <w:smartTag w:uri="urn:schemas-microsoft-com:office:smarttags" w:element="PlaceType">
        <w:r w:rsidR="007134C9">
          <w:t>M</w:t>
        </w:r>
        <w:r>
          <w:t>unicipality</w:t>
        </w:r>
      </w:smartTag>
      <w:r>
        <w:t xml:space="preserve"> to build a wastewater treatment plant in </w:t>
      </w:r>
      <w:smartTag w:uri="urn:schemas-microsoft-com:office:smarttags" w:element="place">
        <w:r>
          <w:t>East Jerusalem</w:t>
        </w:r>
      </w:smartTag>
      <w:r>
        <w:t>.</w:t>
      </w:r>
      <w:r>
        <w:rPr>
          <w:rStyle w:val="FootnoteReference"/>
        </w:rPr>
        <w:footnoteReference w:id="46"/>
      </w:r>
      <w:r>
        <w:t xml:space="preserve"> </w:t>
      </w:r>
      <w:r w:rsidR="00BF1F94">
        <w:t>I</w:t>
      </w:r>
      <w:r>
        <w:t>n December</w:t>
      </w:r>
      <w:r w:rsidR="00BF1F94">
        <w:t>,</w:t>
      </w:r>
      <w:r>
        <w:t xml:space="preserve"> Vitens, a Dutch water utility company, </w:t>
      </w:r>
      <w:r w:rsidR="00BF1F94">
        <w:t xml:space="preserve">decided </w:t>
      </w:r>
      <w:r>
        <w:t>to cut its ties with Mekorot, the Israeli national water company, citing concerns in relation to the adherence of international laws.</w:t>
      </w:r>
      <w:r>
        <w:rPr>
          <w:rStyle w:val="FootnoteReference"/>
        </w:rPr>
        <w:footnoteReference w:id="47"/>
      </w:r>
      <w:r w:rsidR="00610662">
        <w:t xml:space="preserve"> </w:t>
      </w:r>
      <w:r w:rsidR="00BF1F94">
        <w:t>Earlier</w:t>
      </w:r>
      <w:r w:rsidR="00AF00CF">
        <w:t>,</w:t>
      </w:r>
      <w:r w:rsidR="00BF1F94">
        <w:t xml:space="preserve"> i</w:t>
      </w:r>
      <w:r>
        <w:t>n August 2013, the Swedish-Norwegian bank Nordea excluded Cemex, one of the companies taken up in the Special Rapporteur’s earlier report</w:t>
      </w:r>
      <w:r w:rsidR="009846BF">
        <w:t>,</w:t>
      </w:r>
      <w:r>
        <w:t xml:space="preserve"> from its investment </w:t>
      </w:r>
      <w:r>
        <w:lastRenderedPageBreak/>
        <w:t xml:space="preserve">portfolio, due to its extraction of non-renewable natural resources from occupied </w:t>
      </w:r>
      <w:smartTag w:uri="urn:schemas-microsoft-com:office:smarttags" w:element="City">
        <w:smartTag w:uri="urn:schemas-microsoft-com:office:smarttags" w:element="place">
          <w:r>
            <w:t>Palestine</w:t>
          </w:r>
        </w:smartTag>
      </w:smartTag>
      <w:r>
        <w:t>.</w:t>
      </w:r>
      <w:r>
        <w:rPr>
          <w:rStyle w:val="FootnoteReference"/>
        </w:rPr>
        <w:footnoteReference w:id="48"/>
      </w:r>
      <w:r>
        <w:t xml:space="preserve"> Such examples should lead the way for more countries and companies to follow suit, as well as alerting </w:t>
      </w:r>
      <w:r w:rsidR="009846BF">
        <w:t>G</w:t>
      </w:r>
      <w:r>
        <w:t xml:space="preserve">overnments to their responsibility to urge companies subject to their authority to act in accordance with international law. </w:t>
      </w:r>
    </w:p>
    <w:p w:rsidR="00C05D53" w:rsidRDefault="00C05D53" w:rsidP="00C05D53">
      <w:pPr>
        <w:pStyle w:val="SingleTxtG"/>
        <w:numPr>
          <w:ilvl w:val="0"/>
          <w:numId w:val="10"/>
        </w:numPr>
        <w:ind w:left="1134" w:firstLine="0"/>
        <w:rPr>
          <w:lang w:eastAsia="en-GB"/>
        </w:rPr>
      </w:pPr>
      <w:r w:rsidRPr="00896B9A">
        <w:t>While due diligence on the part of businesses is an</w:t>
      </w:r>
      <w:r>
        <w:t xml:space="preserve"> inherent</w:t>
      </w:r>
      <w:r w:rsidRPr="00896B9A">
        <w:t xml:space="preserve"> aspect of corporate responsibility, Governments also have the obligation</w:t>
      </w:r>
      <w:r>
        <w:t>, as noted by the fact-finding mission on settlements,</w:t>
      </w:r>
      <w:r w:rsidRPr="00896B9A">
        <w:t xml:space="preserve"> to take measures to ensure </w:t>
      </w:r>
      <w:r>
        <w:t>that they do not recogni</w:t>
      </w:r>
      <w:r w:rsidR="007134C9">
        <w:t>z</w:t>
      </w:r>
      <w:r>
        <w:t xml:space="preserve">e an unlawful situation arising from </w:t>
      </w:r>
      <w:r w:rsidR="007134C9">
        <w:t xml:space="preserve">the </w:t>
      </w:r>
      <w:r>
        <w:t>illegal activities</w:t>
      </w:r>
      <w:r w:rsidR="007134C9">
        <w:t xml:space="preserve"> of Israel</w:t>
      </w:r>
      <w:r>
        <w:t>.</w:t>
      </w:r>
      <w:r w:rsidRPr="00896B9A">
        <w:rPr>
          <w:sz w:val="18"/>
          <w:vertAlign w:val="superscript"/>
        </w:rPr>
        <w:footnoteReference w:id="49"/>
      </w:r>
      <w:r>
        <w:t xml:space="preserve"> In this regard, the </w:t>
      </w:r>
      <w:r w:rsidRPr="00896B9A">
        <w:t>European Union guidelines which establish that all agreements between Israel and the European Union for grants, prizes and financial instruments funded by the European Union must now unequivocally and explicitly indicate their inapplicability to the territories occupied by Israel in 1967</w:t>
      </w:r>
      <w:r>
        <w:t xml:space="preserve"> represents a step in the right direction. </w:t>
      </w:r>
    </w:p>
    <w:p w:rsidR="00C05D53" w:rsidRDefault="00C05D53" w:rsidP="00C05D53">
      <w:pPr>
        <w:pStyle w:val="SingleTxtG"/>
        <w:numPr>
          <w:ilvl w:val="0"/>
          <w:numId w:val="10"/>
        </w:numPr>
        <w:ind w:left="1134" w:firstLine="0"/>
        <w:rPr>
          <w:lang w:eastAsia="en-GB"/>
        </w:rPr>
      </w:pPr>
      <w:r>
        <w:t>The Special Rapporteur is also encouraged by the recent issuance</w:t>
      </w:r>
      <w:r w:rsidR="007134C9">
        <w:t xml:space="preserve"> by the Government of the United Kingdom of Great Britain and Northern Ireland</w:t>
      </w:r>
      <w:r>
        <w:t xml:space="preserve"> of </w:t>
      </w:r>
      <w:r w:rsidRPr="00896B9A">
        <w:t>guidelines</w:t>
      </w:r>
      <w:r>
        <w:t xml:space="preserve"> </w:t>
      </w:r>
      <w:r w:rsidR="009846BF">
        <w:t xml:space="preserve">for </w:t>
      </w:r>
      <w:r>
        <w:t xml:space="preserve">businesses, which for the first time outline </w:t>
      </w:r>
      <w:r w:rsidRPr="00896B9A">
        <w:t>the risks of trading with Israeli settlements</w:t>
      </w:r>
      <w:r>
        <w:t>, and specifically warn of the legal and economic risks stemming from the fact that the Israeli settlements, according to international law, are built on occupied land and are not recogni</w:t>
      </w:r>
      <w:r w:rsidR="007134C9">
        <w:t>z</w:t>
      </w:r>
      <w:r>
        <w:t xml:space="preserve">ed as a legitimate part of </w:t>
      </w:r>
      <w:r w:rsidR="007134C9">
        <w:t xml:space="preserve">the </w:t>
      </w:r>
      <w:r>
        <w:t>territory</w:t>
      </w:r>
      <w:r w:rsidR="007134C9">
        <w:t xml:space="preserve"> of Israel</w:t>
      </w:r>
      <w:r>
        <w:t>.</w:t>
      </w:r>
      <w:r>
        <w:rPr>
          <w:rStyle w:val="FootnoteReference"/>
        </w:rPr>
        <w:footnoteReference w:id="50"/>
      </w:r>
      <w:r>
        <w:t xml:space="preserve"> </w:t>
      </w:r>
    </w:p>
    <w:p w:rsidR="00C05D53" w:rsidRPr="00360FE6" w:rsidRDefault="00C05D53" w:rsidP="00B577E3">
      <w:pPr>
        <w:pStyle w:val="H23G"/>
      </w:pPr>
      <w:r w:rsidRPr="00610662">
        <w:tab/>
      </w:r>
      <w:r w:rsidRPr="00610662">
        <w:tab/>
        <w:t>Trade with the settlements</w:t>
      </w:r>
    </w:p>
    <w:p w:rsidR="00C05D53" w:rsidRDefault="00C05D53" w:rsidP="00C05D53">
      <w:pPr>
        <w:pStyle w:val="SingleTxtG"/>
        <w:numPr>
          <w:ilvl w:val="0"/>
          <w:numId w:val="10"/>
        </w:numPr>
        <w:ind w:left="1134" w:firstLine="0"/>
        <w:rPr>
          <w:lang w:eastAsia="en-GB"/>
        </w:rPr>
      </w:pPr>
      <w:r>
        <w:rPr>
          <w:lang w:eastAsia="en-GB"/>
        </w:rPr>
        <w:t xml:space="preserve">The diligence shown by the European Union and some of its Member States </w:t>
      </w:r>
      <w:r w:rsidR="009846BF">
        <w:rPr>
          <w:lang w:eastAsia="en-GB"/>
        </w:rPr>
        <w:t xml:space="preserve">regarding </w:t>
      </w:r>
      <w:r>
        <w:rPr>
          <w:lang w:eastAsia="en-GB"/>
        </w:rPr>
        <w:t xml:space="preserve">the responsibility of businesses operating in occupied </w:t>
      </w:r>
      <w:smartTag w:uri="urn:schemas-microsoft-com:office:smarttags" w:element="City">
        <w:smartTag w:uri="urn:schemas-microsoft-com:office:smarttags" w:element="place">
          <w:r>
            <w:rPr>
              <w:lang w:eastAsia="en-GB"/>
            </w:rPr>
            <w:t>Palestine</w:t>
          </w:r>
        </w:smartTag>
      </w:smartTag>
      <w:r>
        <w:rPr>
          <w:lang w:eastAsia="en-GB"/>
        </w:rPr>
        <w:t xml:space="preserve"> naturally leads to the </w:t>
      </w:r>
      <w:r w:rsidR="000C0FDA">
        <w:rPr>
          <w:lang w:eastAsia="en-GB"/>
        </w:rPr>
        <w:t xml:space="preserve">following </w:t>
      </w:r>
      <w:r>
        <w:rPr>
          <w:lang w:eastAsia="en-GB"/>
        </w:rPr>
        <w:t xml:space="preserve">question: </w:t>
      </w:r>
      <w:r w:rsidR="000C0FDA">
        <w:rPr>
          <w:lang w:eastAsia="en-GB"/>
        </w:rPr>
        <w:t>A</w:t>
      </w:r>
      <w:r>
        <w:rPr>
          <w:lang w:eastAsia="en-GB"/>
        </w:rPr>
        <w:t>re the same human rights standards applied by countries when it comes to trade relations with the settlements? If the statements</w:t>
      </w:r>
      <w:r w:rsidR="009846BF">
        <w:rPr>
          <w:lang w:eastAsia="en-GB"/>
        </w:rPr>
        <w:t xml:space="preserve"> issued by the European Union and the United States</w:t>
      </w:r>
      <w:r>
        <w:rPr>
          <w:lang w:eastAsia="en-GB"/>
        </w:rPr>
        <w:t xml:space="preserve"> protesting the expansion of settlements reiterate their illegality and illegitimacy, then </w:t>
      </w:r>
      <w:r w:rsidR="008356F3">
        <w:rPr>
          <w:lang w:eastAsia="en-GB"/>
        </w:rPr>
        <w:t xml:space="preserve">steps should be taken to ensure that related </w:t>
      </w:r>
      <w:r>
        <w:rPr>
          <w:lang w:eastAsia="en-GB"/>
        </w:rPr>
        <w:t>actions also reflect a genuine commitment to human rights and respect for international law</w:t>
      </w:r>
      <w:r w:rsidR="008356F3">
        <w:rPr>
          <w:lang w:eastAsia="en-GB"/>
        </w:rPr>
        <w:t>,</w:t>
      </w:r>
      <w:r>
        <w:rPr>
          <w:lang w:eastAsia="en-GB"/>
        </w:rPr>
        <w:t xml:space="preserve"> </w:t>
      </w:r>
      <w:r w:rsidR="008356F3">
        <w:rPr>
          <w:lang w:eastAsia="en-GB"/>
        </w:rPr>
        <w:t xml:space="preserve">for example </w:t>
      </w:r>
      <w:r w:rsidRPr="009846BF">
        <w:rPr>
          <w:lang w:eastAsia="en-GB"/>
        </w:rPr>
        <w:t>by ceasing trade</w:t>
      </w:r>
      <w:r>
        <w:rPr>
          <w:lang w:eastAsia="en-GB"/>
        </w:rPr>
        <w:t xml:space="preserve"> with the settlements starting with a ban on imports of settlement produce. </w:t>
      </w:r>
    </w:p>
    <w:p w:rsidR="00C05D53" w:rsidRDefault="00C05D53" w:rsidP="005A4DB3">
      <w:pPr>
        <w:pStyle w:val="SingleTxtG"/>
        <w:numPr>
          <w:ilvl w:val="0"/>
          <w:numId w:val="10"/>
        </w:numPr>
        <w:ind w:left="1134" w:firstLine="0"/>
        <w:rPr>
          <w:lang w:eastAsia="en-GB"/>
        </w:rPr>
      </w:pPr>
      <w:r>
        <w:rPr>
          <w:lang w:eastAsia="en-GB"/>
        </w:rPr>
        <w:t>While p</w:t>
      </w:r>
      <w:r>
        <w:t xml:space="preserve">roduce originating in the Israeli settlements </w:t>
      </w:r>
      <w:r w:rsidR="000C0FDA">
        <w:t>is</w:t>
      </w:r>
      <w:r>
        <w:t xml:space="preserve"> not entitled to benefit from preferential tariff treatment under the E</w:t>
      </w:r>
      <w:r w:rsidR="000C0FDA">
        <w:t>uropean Union</w:t>
      </w:r>
      <w:r>
        <w:t>-Israel Association Agreement, f</w:t>
      </w:r>
      <w:r>
        <w:rPr>
          <w:lang w:eastAsia="en-GB"/>
        </w:rPr>
        <w:t xml:space="preserve">resh agricultural produce exported from the settlements </w:t>
      </w:r>
      <w:r w:rsidR="000C0FDA">
        <w:rPr>
          <w:lang w:eastAsia="en-GB"/>
        </w:rPr>
        <w:t>—</w:t>
      </w:r>
      <w:r>
        <w:rPr>
          <w:lang w:eastAsia="en-GB"/>
        </w:rPr>
        <w:t xml:space="preserve"> but </w:t>
      </w:r>
      <w:r w:rsidR="00311DED">
        <w:rPr>
          <w:lang w:eastAsia="en-GB"/>
        </w:rPr>
        <w:t xml:space="preserve">falsely </w:t>
      </w:r>
      <w:r>
        <w:rPr>
          <w:lang w:eastAsia="en-GB"/>
        </w:rPr>
        <w:t xml:space="preserve">labelled as </w:t>
      </w:r>
      <w:r w:rsidR="005A4DB3">
        <w:rPr>
          <w:lang w:eastAsia="en-GB"/>
        </w:rPr>
        <w:t>“</w:t>
      </w:r>
      <w:r>
        <w:rPr>
          <w:lang w:eastAsia="en-GB"/>
        </w:rPr>
        <w:t>made in Israel</w:t>
      </w:r>
      <w:r w:rsidR="005A4DB3">
        <w:rPr>
          <w:lang w:eastAsia="en-GB"/>
        </w:rPr>
        <w:t>”</w:t>
      </w:r>
      <w:r>
        <w:rPr>
          <w:lang w:eastAsia="en-GB"/>
        </w:rPr>
        <w:t xml:space="preserve"> </w:t>
      </w:r>
      <w:r w:rsidR="000C0FDA">
        <w:rPr>
          <w:lang w:eastAsia="en-GB"/>
        </w:rPr>
        <w:t>—</w:t>
      </w:r>
      <w:r>
        <w:rPr>
          <w:lang w:eastAsia="en-GB"/>
        </w:rPr>
        <w:t xml:space="preserve"> can still be found on many supermarket shelves across the European Union due to the voluntary nature of labelling requirements</w:t>
      </w:r>
      <w:r w:rsidR="000C0FDA">
        <w:rPr>
          <w:lang w:eastAsia="en-GB"/>
        </w:rPr>
        <w:t>.</w:t>
      </w:r>
      <w:r>
        <w:rPr>
          <w:lang w:eastAsia="en-GB"/>
        </w:rPr>
        <w:t xml:space="preserve"> Considering the fact that the E</w:t>
      </w:r>
      <w:r w:rsidR="000C0FDA">
        <w:rPr>
          <w:lang w:eastAsia="en-GB"/>
        </w:rPr>
        <w:t>uropean Union</w:t>
      </w:r>
      <w:r>
        <w:rPr>
          <w:lang w:eastAsia="en-GB"/>
        </w:rPr>
        <w:t xml:space="preserve"> remains one of the most important trading partners for the settlements</w:t>
      </w:r>
      <w:r w:rsidR="000C0FDA">
        <w:rPr>
          <w:lang w:eastAsia="en-GB"/>
        </w:rPr>
        <w:t>,</w:t>
      </w:r>
      <w:r>
        <w:rPr>
          <w:lang w:eastAsia="en-GB"/>
        </w:rPr>
        <w:t xml:space="preserve"> with annual exports worth $300</w:t>
      </w:r>
      <w:r w:rsidR="005A4DB3">
        <w:rPr>
          <w:lang w:eastAsia="en-GB"/>
        </w:rPr>
        <w:t> </w:t>
      </w:r>
      <w:r>
        <w:rPr>
          <w:lang w:eastAsia="en-GB"/>
        </w:rPr>
        <w:t xml:space="preserve">million, a ban on settlement produce would have a significant impact. It should also not be forgotten that </w:t>
      </w:r>
      <w:r w:rsidRPr="00D11906">
        <w:rPr>
          <w:lang w:eastAsia="en-GB"/>
        </w:rPr>
        <w:t xml:space="preserve">trade with settlements </w:t>
      </w:r>
      <w:r>
        <w:rPr>
          <w:lang w:eastAsia="en-GB"/>
        </w:rPr>
        <w:t>is</w:t>
      </w:r>
      <w:r w:rsidR="00610662">
        <w:rPr>
          <w:lang w:eastAsia="en-GB"/>
        </w:rPr>
        <w:t xml:space="preserve"> </w:t>
      </w:r>
      <w:r>
        <w:rPr>
          <w:lang w:eastAsia="en-GB"/>
        </w:rPr>
        <w:t xml:space="preserve">linked to the violation of human rights with respect to Palestinian communities denied access </w:t>
      </w:r>
      <w:r w:rsidRPr="00D11906">
        <w:rPr>
          <w:lang w:eastAsia="en-GB"/>
        </w:rPr>
        <w:t>to</w:t>
      </w:r>
      <w:r>
        <w:rPr>
          <w:lang w:eastAsia="en-GB"/>
        </w:rPr>
        <w:t xml:space="preserve"> fertile</w:t>
      </w:r>
      <w:r w:rsidRPr="00D11906">
        <w:rPr>
          <w:lang w:eastAsia="en-GB"/>
        </w:rPr>
        <w:t xml:space="preserve"> </w:t>
      </w:r>
      <w:r>
        <w:rPr>
          <w:lang w:eastAsia="en-GB"/>
        </w:rPr>
        <w:t>agricultural land,</w:t>
      </w:r>
      <w:r w:rsidRPr="00D11906">
        <w:rPr>
          <w:lang w:eastAsia="en-GB"/>
        </w:rPr>
        <w:t xml:space="preserve"> water</w:t>
      </w:r>
      <w:r>
        <w:rPr>
          <w:lang w:eastAsia="en-GB"/>
        </w:rPr>
        <w:t xml:space="preserve"> and other natural resources.</w:t>
      </w:r>
      <w:r w:rsidRPr="00D11906">
        <w:rPr>
          <w:lang w:eastAsia="en-GB"/>
        </w:rPr>
        <w:t xml:space="preserve"> </w:t>
      </w:r>
    </w:p>
    <w:p w:rsidR="00C05D53" w:rsidRDefault="00C05D53" w:rsidP="00C05D53">
      <w:pPr>
        <w:pStyle w:val="SingleTxtG"/>
        <w:numPr>
          <w:ilvl w:val="0"/>
          <w:numId w:val="10"/>
        </w:numPr>
        <w:ind w:left="1134" w:firstLine="0"/>
        <w:rPr>
          <w:lang w:eastAsia="en-GB"/>
        </w:rPr>
      </w:pPr>
      <w:r>
        <w:rPr>
          <w:lang w:eastAsia="en-GB"/>
        </w:rPr>
        <w:t xml:space="preserve">So long as illegal settlements are supported through trade, statements protesting the expansion of settlements from the main trading partners of </w:t>
      </w:r>
      <w:smartTag w:uri="urn:schemas-microsoft-com:office:smarttags" w:element="country-region">
        <w:r>
          <w:rPr>
            <w:lang w:eastAsia="en-GB"/>
          </w:rPr>
          <w:t>Israel</w:t>
        </w:r>
      </w:smartTag>
      <w:r>
        <w:rPr>
          <w:lang w:eastAsia="en-GB"/>
        </w:rPr>
        <w:t xml:space="preserve"> will have little resonance on the ground, and third party States will continue to be associated with the violation of human rights in occupied </w:t>
      </w:r>
      <w:smartTag w:uri="urn:schemas-microsoft-com:office:smarttags" w:element="place">
        <w:smartTag w:uri="urn:schemas-microsoft-com:office:smarttags" w:element="City">
          <w:r>
            <w:rPr>
              <w:lang w:eastAsia="en-GB"/>
            </w:rPr>
            <w:t>Palestine</w:t>
          </w:r>
        </w:smartTag>
      </w:smartTag>
      <w:r>
        <w:rPr>
          <w:lang w:eastAsia="en-GB"/>
        </w:rPr>
        <w:t xml:space="preserve">. </w:t>
      </w:r>
    </w:p>
    <w:p w:rsidR="00C05D53" w:rsidRPr="007F5C54" w:rsidRDefault="007F5C54" w:rsidP="007F5C54">
      <w:pPr>
        <w:pStyle w:val="HChG"/>
      </w:pPr>
      <w:r>
        <w:lastRenderedPageBreak/>
        <w:tab/>
        <w:t>IV.</w:t>
      </w:r>
      <w:r>
        <w:tab/>
      </w:r>
      <w:r w:rsidR="00C05D53" w:rsidRPr="007F5C54">
        <w:t xml:space="preserve">The </w:t>
      </w:r>
      <w:smartTag w:uri="urn:schemas-microsoft-com:office:smarttags" w:element="place">
        <w:smartTag w:uri="urn:schemas-microsoft-com:office:smarttags" w:element="City">
          <w:r w:rsidR="00C05D53" w:rsidRPr="007F5C54">
            <w:t>Gaza</w:t>
          </w:r>
        </w:smartTag>
      </w:smartTag>
      <w:r w:rsidR="00C05D53" w:rsidRPr="007F5C54">
        <w:t xml:space="preserve"> Strip</w:t>
      </w:r>
    </w:p>
    <w:p w:rsidR="00C05D53" w:rsidRDefault="00C05D53" w:rsidP="00C05D53">
      <w:pPr>
        <w:pStyle w:val="SingleTxtG"/>
        <w:numPr>
          <w:ilvl w:val="0"/>
          <w:numId w:val="10"/>
        </w:numPr>
        <w:ind w:left="1134" w:firstLine="0"/>
        <w:rPr>
          <w:lang w:eastAsia="en-GB"/>
        </w:rPr>
      </w:pPr>
      <w:r>
        <w:rPr>
          <w:lang w:eastAsia="en-GB"/>
        </w:rPr>
        <w:t xml:space="preserve">In the space of six years since this Special Rapporteur assumed this mandate, the population of the Gaza Strip has lived through two major Israeli military operations (Cast Lead </w:t>
      </w:r>
      <w:r w:rsidR="007D3E62">
        <w:rPr>
          <w:lang w:eastAsia="en-GB"/>
        </w:rPr>
        <w:t>from</w:t>
      </w:r>
      <w:r>
        <w:rPr>
          <w:lang w:eastAsia="en-GB"/>
        </w:rPr>
        <w:t xml:space="preserve"> December 2008 to January 2009 and Pillar of Defen</w:t>
      </w:r>
      <w:r w:rsidR="007D3E62">
        <w:rPr>
          <w:lang w:eastAsia="en-GB"/>
        </w:rPr>
        <w:t>c</w:t>
      </w:r>
      <w:r>
        <w:rPr>
          <w:lang w:eastAsia="en-GB"/>
        </w:rPr>
        <w:t>e in November 2012), and endured Israel’s illegal blockade (in place since June 2007). Both conflicts inflicted disproportionate casualties and devastation on the Palestinian civilian population.</w:t>
      </w:r>
      <w:r w:rsidR="00610662">
        <w:rPr>
          <w:lang w:eastAsia="en-GB"/>
        </w:rPr>
        <w:t xml:space="preserve"> </w:t>
      </w:r>
      <w:r>
        <w:rPr>
          <w:lang w:eastAsia="en-GB"/>
        </w:rPr>
        <w:t>This has been well</w:t>
      </w:r>
      <w:r w:rsidR="007D3E62">
        <w:rPr>
          <w:lang w:eastAsia="en-GB"/>
        </w:rPr>
        <w:t xml:space="preserve"> </w:t>
      </w:r>
      <w:r>
        <w:rPr>
          <w:lang w:eastAsia="en-GB"/>
        </w:rPr>
        <w:t>documented by the United Nations.</w:t>
      </w:r>
      <w:r>
        <w:rPr>
          <w:rStyle w:val="FootnoteReference"/>
          <w:lang w:eastAsia="en-GB"/>
        </w:rPr>
        <w:footnoteReference w:id="51"/>
      </w:r>
    </w:p>
    <w:p w:rsidR="00C05D53" w:rsidRDefault="00C05D53" w:rsidP="00C05D53">
      <w:pPr>
        <w:pStyle w:val="SingleTxtG"/>
        <w:numPr>
          <w:ilvl w:val="0"/>
          <w:numId w:val="10"/>
        </w:numPr>
        <w:ind w:left="1134" w:firstLine="0"/>
        <w:rPr>
          <w:lang w:eastAsia="en-GB"/>
        </w:rPr>
      </w:pPr>
      <w:r>
        <w:rPr>
          <w:lang w:eastAsia="en-GB"/>
        </w:rPr>
        <w:t xml:space="preserve">Since June 2013, the humanitarian situation in </w:t>
      </w:r>
      <w:smartTag w:uri="urn:schemas-microsoft-com:office:smarttags" w:element="place">
        <w:smartTag w:uri="urn:schemas-microsoft-com:office:smarttags" w:element="City">
          <w:r>
            <w:rPr>
              <w:lang w:eastAsia="en-GB"/>
            </w:rPr>
            <w:t>Gaza</w:t>
          </w:r>
        </w:smartTag>
      </w:smartTag>
      <w:r>
        <w:rPr>
          <w:lang w:eastAsia="en-GB"/>
        </w:rPr>
        <w:t xml:space="preserve"> has worsened. In recent months, the destruction by the Egyptian authorities of most underground tunnels, which although problematic had been a lifeline to the residents</w:t>
      </w:r>
      <w:r w:rsidR="00CE55CE">
        <w:rPr>
          <w:lang w:eastAsia="en-GB"/>
        </w:rPr>
        <w:t>,</w:t>
      </w:r>
      <w:r>
        <w:rPr>
          <w:lang w:eastAsia="en-GB"/>
        </w:rPr>
        <w:t xml:space="preserve"> has had a particularly serious impact on the availability of fuel at affordable prices in </w:t>
      </w:r>
      <w:smartTag w:uri="urn:schemas-microsoft-com:office:smarttags" w:element="City">
        <w:smartTag w:uri="urn:schemas-microsoft-com:office:smarttags" w:element="place">
          <w:r>
            <w:rPr>
              <w:lang w:eastAsia="en-GB"/>
            </w:rPr>
            <w:t>Gaza</w:t>
          </w:r>
        </w:smartTag>
      </w:smartTag>
      <w:r>
        <w:rPr>
          <w:lang w:eastAsia="en-GB"/>
        </w:rPr>
        <w:t>. This has led to severe power shortages</w:t>
      </w:r>
      <w:r w:rsidR="00CE55CE">
        <w:rPr>
          <w:lang w:eastAsia="en-GB"/>
        </w:rPr>
        <w:t>,</w:t>
      </w:r>
      <w:r>
        <w:rPr>
          <w:lang w:eastAsia="en-GB"/>
        </w:rPr>
        <w:t xml:space="preserve"> resulting in shutdowns of sewage treatment facilities, and disruptions to </w:t>
      </w:r>
      <w:r>
        <w:rPr>
          <w:rStyle w:val="lblnewsfulltext"/>
        </w:rPr>
        <w:t xml:space="preserve">specialized health services, such as kidney dialysis, operating theatres, blood banks, intensive care units and incubators, putting the lives of vulnerable patients in </w:t>
      </w:r>
      <w:smartTag w:uri="urn:schemas-microsoft-com:office:smarttags" w:element="City">
        <w:smartTag w:uri="urn:schemas-microsoft-com:office:smarttags" w:element="place">
          <w:r>
            <w:rPr>
              <w:rStyle w:val="lblnewsfulltext"/>
            </w:rPr>
            <w:t>Gaza</w:t>
          </w:r>
        </w:smartTag>
      </w:smartTag>
      <w:r>
        <w:rPr>
          <w:rStyle w:val="lblnewsfulltext"/>
        </w:rPr>
        <w:t xml:space="preserve"> at risk.</w:t>
      </w:r>
      <w:r>
        <w:rPr>
          <w:rStyle w:val="FootnoteReference"/>
          <w:lang w:eastAsia="en-GB"/>
        </w:rPr>
        <w:footnoteReference w:id="52"/>
      </w:r>
      <w:r>
        <w:rPr>
          <w:lang w:eastAsia="en-GB"/>
        </w:rPr>
        <w:t xml:space="preserve"> The frequent closures of the Rafah crossing in recent months have generally prevented access to affordable health care in </w:t>
      </w:r>
      <w:smartTag w:uri="urn:schemas-microsoft-com:office:smarttags" w:element="country-region">
        <w:r>
          <w:rPr>
            <w:lang w:eastAsia="en-GB"/>
          </w:rPr>
          <w:t>Egypt</w:t>
        </w:r>
      </w:smartTag>
      <w:r>
        <w:rPr>
          <w:lang w:eastAsia="en-GB"/>
        </w:rPr>
        <w:t xml:space="preserve">, which remains essential given the limitations of the </w:t>
      </w:r>
      <w:smartTag w:uri="urn:schemas-microsoft-com:office:smarttags" w:element="place">
        <w:smartTag w:uri="urn:schemas-microsoft-com:office:smarttags" w:element="City">
          <w:r>
            <w:rPr>
              <w:lang w:eastAsia="en-GB"/>
            </w:rPr>
            <w:t>Gaza</w:t>
          </w:r>
        </w:smartTag>
      </w:smartTag>
      <w:r>
        <w:rPr>
          <w:lang w:eastAsia="en-GB"/>
        </w:rPr>
        <w:t xml:space="preserve"> health system. </w:t>
      </w:r>
    </w:p>
    <w:p w:rsidR="00C05D53" w:rsidRDefault="00C05D53" w:rsidP="00C05D53">
      <w:pPr>
        <w:pStyle w:val="SingleTxtG"/>
        <w:numPr>
          <w:ilvl w:val="0"/>
          <w:numId w:val="10"/>
        </w:numPr>
        <w:ind w:left="1134" w:firstLine="0"/>
      </w:pPr>
      <w:r>
        <w:rPr>
          <w:lang w:eastAsia="en-GB"/>
        </w:rPr>
        <w:t xml:space="preserve">The most egregious violations of human rights committed by </w:t>
      </w:r>
      <w:smartTag w:uri="urn:schemas-microsoft-com:office:smarttags" w:element="country-region">
        <w:smartTag w:uri="urn:schemas-microsoft-com:office:smarttags" w:element="place">
          <w:r>
            <w:rPr>
              <w:lang w:eastAsia="en-GB"/>
            </w:rPr>
            <w:t>Israel</w:t>
          </w:r>
        </w:smartTag>
      </w:smartTag>
      <w:r>
        <w:rPr>
          <w:lang w:eastAsia="en-GB"/>
        </w:rPr>
        <w:t xml:space="preserve"> have been in its enforcement</w:t>
      </w:r>
      <w:r w:rsidR="00CE55CE">
        <w:rPr>
          <w:lang w:eastAsia="en-GB"/>
        </w:rPr>
        <w:t>,</w:t>
      </w:r>
      <w:r>
        <w:rPr>
          <w:lang w:eastAsia="en-GB"/>
        </w:rPr>
        <w:t xml:space="preserve"> using excessive force, of arbitrary access to restricted areas at sea and on land, profoundly affecting the lives of Palestinian fishermen and agricultural farmers and households dependent upon them. The more pervasive forms of human rights violations also linked to the blockade have been well documented by the Secretary-General (A/68/502), and include inter alia, severe restrictions</w:t>
      </w:r>
      <w:r w:rsidR="00CE55CE">
        <w:rPr>
          <w:lang w:eastAsia="en-GB"/>
        </w:rPr>
        <w:t xml:space="preserve"> on movement</w:t>
      </w:r>
      <w:r>
        <w:rPr>
          <w:lang w:eastAsia="en-GB"/>
        </w:rPr>
        <w:t xml:space="preserve"> into and out of </w:t>
      </w:r>
      <w:smartTag w:uri="urn:schemas-microsoft-com:office:smarttags" w:element="City">
        <w:r>
          <w:rPr>
            <w:lang w:eastAsia="en-GB"/>
          </w:rPr>
          <w:t>Gaza</w:t>
        </w:r>
      </w:smartTag>
      <w:r>
        <w:rPr>
          <w:lang w:eastAsia="en-GB"/>
        </w:rPr>
        <w:t xml:space="preserve"> from </w:t>
      </w:r>
      <w:smartTag w:uri="urn:schemas-microsoft-com:office:smarttags" w:element="country-region">
        <w:r>
          <w:rPr>
            <w:lang w:eastAsia="en-GB"/>
          </w:rPr>
          <w:t>Israel</w:t>
        </w:r>
      </w:smartTag>
      <w:r>
        <w:rPr>
          <w:lang w:eastAsia="en-GB"/>
        </w:rPr>
        <w:t xml:space="preserve"> and adverse impacts on the rights of Palestinians in </w:t>
      </w:r>
      <w:smartTag w:uri="urn:schemas-microsoft-com:office:smarttags" w:element="City">
        <w:smartTag w:uri="urn:schemas-microsoft-com:office:smarttags" w:element="place">
          <w:r>
            <w:rPr>
              <w:lang w:eastAsia="en-GB"/>
            </w:rPr>
            <w:t>Gaza</w:t>
          </w:r>
        </w:smartTag>
      </w:smartTag>
      <w:r>
        <w:rPr>
          <w:lang w:eastAsia="en-GB"/>
        </w:rPr>
        <w:t xml:space="preserve"> to education, health and work. In addition, severe export restrictions (and limitations on imports) undermine the potential of the </w:t>
      </w:r>
      <w:smartTag w:uri="urn:schemas-microsoft-com:office:smarttags" w:element="City">
        <w:r>
          <w:rPr>
            <w:lang w:eastAsia="en-GB"/>
          </w:rPr>
          <w:t>Gaza</w:t>
        </w:r>
      </w:smartTag>
      <w:r>
        <w:rPr>
          <w:lang w:eastAsia="en-GB"/>
        </w:rPr>
        <w:t xml:space="preserve"> economy, and accentuate the impoverished conditions that prevail in </w:t>
      </w:r>
      <w:smartTag w:uri="urn:schemas-microsoft-com:office:smarttags" w:element="place">
        <w:smartTag w:uri="urn:schemas-microsoft-com:office:smarttags" w:element="City">
          <w:r>
            <w:rPr>
              <w:lang w:eastAsia="en-GB"/>
            </w:rPr>
            <w:t>Gaza</w:t>
          </w:r>
        </w:smartTag>
      </w:smartTag>
      <w:r>
        <w:rPr>
          <w:lang w:eastAsia="en-GB"/>
        </w:rPr>
        <w:t>.</w:t>
      </w:r>
      <w:r>
        <w:rPr>
          <w:rStyle w:val="FootnoteReference"/>
          <w:lang w:eastAsia="en-GB"/>
        </w:rPr>
        <w:footnoteReference w:id="53"/>
      </w:r>
      <w:r>
        <w:rPr>
          <w:lang w:eastAsia="en-GB"/>
        </w:rPr>
        <w:t xml:space="preserve"> The recent refusal of </w:t>
      </w:r>
      <w:smartTag w:uri="urn:schemas-microsoft-com:office:smarttags" w:element="country-region">
        <w:r>
          <w:rPr>
            <w:lang w:eastAsia="en-GB"/>
          </w:rPr>
          <w:t>Israel</w:t>
        </w:r>
      </w:smartTag>
      <w:r>
        <w:rPr>
          <w:lang w:eastAsia="en-GB"/>
        </w:rPr>
        <w:t xml:space="preserve"> to </w:t>
      </w:r>
      <w:r>
        <w:t xml:space="preserve">allow exports from </w:t>
      </w:r>
      <w:smartTag w:uri="urn:schemas-microsoft-com:office:smarttags" w:element="City">
        <w:r>
          <w:t>Gaza</w:t>
        </w:r>
      </w:smartTag>
      <w:r>
        <w:t xml:space="preserve"> to the West Bank, despite a Dutch donation of a container security scanner, is emblematic of the denial of the right to development in </w:t>
      </w:r>
      <w:smartTag w:uri="urn:schemas-microsoft-com:office:smarttags" w:element="City">
        <w:r>
          <w:t>Gaza</w:t>
        </w:r>
      </w:smartTag>
      <w:r>
        <w:t>, and undercuts claims</w:t>
      </w:r>
      <w:r w:rsidR="00CE55CE">
        <w:t xml:space="preserve"> by </w:t>
      </w:r>
      <w:smartTag w:uri="urn:schemas-microsoft-com:office:smarttags" w:element="country-region">
        <w:smartTag w:uri="urn:schemas-microsoft-com:office:smarttags" w:element="place">
          <w:r w:rsidR="00CE55CE">
            <w:t>Israel</w:t>
          </w:r>
        </w:smartTag>
      </w:smartTag>
      <w:r>
        <w:t xml:space="preserve"> that its actions are taken to serve genuine security concerns.</w:t>
      </w:r>
      <w:r>
        <w:rPr>
          <w:rStyle w:val="FootnoteReference"/>
        </w:rPr>
        <w:footnoteReference w:id="54"/>
      </w:r>
      <w:r>
        <w:t xml:space="preserve"> </w:t>
      </w:r>
    </w:p>
    <w:p w:rsidR="00C05D53" w:rsidRPr="007F5C54" w:rsidRDefault="007F5C54" w:rsidP="007F5C54">
      <w:pPr>
        <w:pStyle w:val="HChG"/>
      </w:pPr>
      <w:r>
        <w:tab/>
        <w:t>V.</w:t>
      </w:r>
      <w:r>
        <w:tab/>
      </w:r>
      <w:r w:rsidR="00CE55CE">
        <w:t>The q</w:t>
      </w:r>
      <w:r w:rsidR="00C05D53" w:rsidRPr="007F5C54">
        <w:t>uestion of apartheid and segregation</w:t>
      </w:r>
    </w:p>
    <w:p w:rsidR="00C05D53" w:rsidRPr="00856AF2" w:rsidRDefault="00C05D53" w:rsidP="00C05D53">
      <w:pPr>
        <w:pStyle w:val="SingleTxtG"/>
        <w:numPr>
          <w:ilvl w:val="0"/>
          <w:numId w:val="10"/>
        </w:numPr>
        <w:ind w:left="1134" w:firstLine="0"/>
        <w:rPr>
          <w:lang w:eastAsia="en-GB"/>
        </w:rPr>
      </w:pPr>
      <w:r w:rsidRPr="00856AF2">
        <w:rPr>
          <w:lang w:eastAsia="en-GB"/>
        </w:rPr>
        <w:t xml:space="preserve">In </w:t>
      </w:r>
      <w:r>
        <w:rPr>
          <w:lang w:eastAsia="en-GB"/>
        </w:rPr>
        <w:t>2011,</w:t>
      </w:r>
      <w:r w:rsidRPr="00856AF2">
        <w:rPr>
          <w:lang w:eastAsia="en-GB"/>
        </w:rPr>
        <w:t xml:space="preserve"> the Special Rapporteur reiterated the call made by his predecessor in 2007, for a referral to the </w:t>
      </w:r>
      <w:r w:rsidR="00CE55CE">
        <w:rPr>
          <w:lang w:eastAsia="en-GB"/>
        </w:rPr>
        <w:t xml:space="preserve">International Court of Justice </w:t>
      </w:r>
      <w:r w:rsidRPr="00856AF2">
        <w:rPr>
          <w:lang w:eastAsia="en-GB"/>
        </w:rPr>
        <w:t>for an advisory opinion on the question of whether “elements of the [Israeli] occupation constitute forms of colonialism and apartheid”.</w:t>
      </w:r>
      <w:r w:rsidRPr="004E403B">
        <w:rPr>
          <w:sz w:val="18"/>
          <w:vertAlign w:val="superscript"/>
          <w:lang w:eastAsia="en-GB"/>
        </w:rPr>
        <w:footnoteReference w:id="55"/>
      </w:r>
      <w:r w:rsidRPr="00360FE6">
        <w:rPr>
          <w:sz w:val="18"/>
          <w:lang w:eastAsia="en-GB"/>
        </w:rPr>
        <w:t xml:space="preserve"> </w:t>
      </w:r>
      <w:r w:rsidRPr="00856AF2">
        <w:rPr>
          <w:lang w:eastAsia="en-GB"/>
        </w:rPr>
        <w:t xml:space="preserve">More precisely, </w:t>
      </w:r>
      <w:r>
        <w:rPr>
          <w:lang w:eastAsia="en-GB"/>
        </w:rPr>
        <w:t>he</w:t>
      </w:r>
      <w:r w:rsidRPr="00856AF2">
        <w:rPr>
          <w:lang w:eastAsia="en-GB"/>
        </w:rPr>
        <w:t xml:space="preserve"> recommended that </w:t>
      </w:r>
      <w:r>
        <w:rPr>
          <w:lang w:eastAsia="en-GB"/>
        </w:rPr>
        <w:t xml:space="preserve">the </w:t>
      </w:r>
      <w:r w:rsidR="00CE55CE">
        <w:rPr>
          <w:lang w:eastAsia="en-GB"/>
        </w:rPr>
        <w:t xml:space="preserve">Court </w:t>
      </w:r>
      <w:r>
        <w:rPr>
          <w:lang w:eastAsia="en-GB"/>
        </w:rPr>
        <w:t>be asked to</w:t>
      </w:r>
      <w:r w:rsidRPr="00856AF2">
        <w:rPr>
          <w:lang w:eastAsia="en-GB"/>
        </w:rPr>
        <w:t xml:space="preserve"> assess the allegations that the prolonged occupation of the West Bank and East Jerusalem possess elements of “colonialism”, “apartheid” and “ethnic cleansing” inconsistent with </w:t>
      </w:r>
      <w:r w:rsidR="00BB5817">
        <w:rPr>
          <w:lang w:eastAsia="en-GB"/>
        </w:rPr>
        <w:t>international humanitarian law</w:t>
      </w:r>
      <w:r w:rsidRPr="00856AF2">
        <w:rPr>
          <w:lang w:eastAsia="en-GB"/>
        </w:rPr>
        <w:t xml:space="preserve"> in circumstances of belligerent occupation and unlawful abridgement of the right to self-determination of the Palestinian people.</w:t>
      </w:r>
      <w:r w:rsidRPr="004E403B">
        <w:rPr>
          <w:sz w:val="18"/>
          <w:vertAlign w:val="superscript"/>
          <w:lang w:eastAsia="en-GB"/>
        </w:rPr>
        <w:footnoteReference w:id="56"/>
      </w:r>
      <w:r w:rsidRPr="00856AF2">
        <w:rPr>
          <w:lang w:eastAsia="en-GB"/>
        </w:rPr>
        <w:t xml:space="preserve"> Since no advisory opinion has been sought following the</w:t>
      </w:r>
      <w:r>
        <w:rPr>
          <w:lang w:eastAsia="en-GB"/>
        </w:rPr>
        <w:t xml:space="preserve"> aforementioned</w:t>
      </w:r>
      <w:r w:rsidRPr="00856AF2">
        <w:rPr>
          <w:lang w:eastAsia="en-GB"/>
        </w:rPr>
        <w:t xml:space="preserve"> reports of successive Special Rapporteurs, </w:t>
      </w:r>
      <w:r w:rsidR="00732F9C">
        <w:rPr>
          <w:lang w:eastAsia="en-GB"/>
        </w:rPr>
        <w:t xml:space="preserve">in </w:t>
      </w:r>
      <w:r w:rsidRPr="00856AF2">
        <w:rPr>
          <w:lang w:eastAsia="en-GB"/>
        </w:rPr>
        <w:t xml:space="preserve">the present report </w:t>
      </w:r>
      <w:r w:rsidR="00732F9C">
        <w:rPr>
          <w:lang w:eastAsia="en-GB"/>
        </w:rPr>
        <w:t xml:space="preserve">the Special Rapporteur </w:t>
      </w:r>
      <w:r>
        <w:rPr>
          <w:lang w:eastAsia="en-GB"/>
        </w:rPr>
        <w:t xml:space="preserve">assumes part of the task of </w:t>
      </w:r>
      <w:r w:rsidR="00BF4B48">
        <w:rPr>
          <w:lang w:eastAsia="en-GB"/>
        </w:rPr>
        <w:lastRenderedPageBreak/>
        <w:t xml:space="preserve">analysing </w:t>
      </w:r>
      <w:r>
        <w:rPr>
          <w:lang w:eastAsia="en-GB"/>
        </w:rPr>
        <w:t>whether allegation</w:t>
      </w:r>
      <w:r w:rsidR="00BF4B48">
        <w:rPr>
          <w:lang w:eastAsia="en-GB"/>
        </w:rPr>
        <w:t>s</w:t>
      </w:r>
      <w:r>
        <w:rPr>
          <w:lang w:eastAsia="en-GB"/>
        </w:rPr>
        <w:t xml:space="preserve"> of</w:t>
      </w:r>
      <w:r w:rsidRPr="00856AF2">
        <w:rPr>
          <w:lang w:eastAsia="en-GB"/>
        </w:rPr>
        <w:t xml:space="preserve"> apartheid </w:t>
      </w:r>
      <w:r>
        <w:rPr>
          <w:lang w:eastAsia="en-GB"/>
        </w:rPr>
        <w:t xml:space="preserve">in </w:t>
      </w:r>
      <w:r w:rsidRPr="00856AF2">
        <w:rPr>
          <w:lang w:eastAsia="en-GB"/>
        </w:rPr>
        <w:t xml:space="preserve">occupied </w:t>
      </w:r>
      <w:smartTag w:uri="urn:schemas-microsoft-com:office:smarttags" w:element="City">
        <w:smartTag w:uri="urn:schemas-microsoft-com:office:smarttags" w:element="place">
          <w:r w:rsidRPr="00856AF2">
            <w:rPr>
              <w:lang w:eastAsia="en-GB"/>
            </w:rPr>
            <w:t>Palestine</w:t>
          </w:r>
        </w:smartTag>
      </w:smartTag>
      <w:r>
        <w:rPr>
          <w:lang w:eastAsia="en-GB"/>
        </w:rPr>
        <w:t xml:space="preserve"> are well</w:t>
      </w:r>
      <w:r w:rsidR="00732F9C">
        <w:rPr>
          <w:lang w:eastAsia="en-GB"/>
        </w:rPr>
        <w:t xml:space="preserve"> </w:t>
      </w:r>
      <w:r>
        <w:rPr>
          <w:lang w:eastAsia="en-GB"/>
        </w:rPr>
        <w:t>founded</w:t>
      </w:r>
      <w:r w:rsidRPr="00856AF2">
        <w:rPr>
          <w:lang w:eastAsia="en-GB"/>
        </w:rPr>
        <w:t xml:space="preserve">. </w:t>
      </w:r>
      <w:r w:rsidR="00732F9C">
        <w:rPr>
          <w:lang w:eastAsia="en-GB"/>
        </w:rPr>
        <w:t>He</w:t>
      </w:r>
      <w:r w:rsidR="00732F9C" w:rsidRPr="00856AF2">
        <w:rPr>
          <w:lang w:eastAsia="en-GB"/>
        </w:rPr>
        <w:t xml:space="preserve"> </w:t>
      </w:r>
      <w:r w:rsidRPr="00856AF2">
        <w:rPr>
          <w:lang w:eastAsia="en-GB"/>
        </w:rPr>
        <w:t xml:space="preserve">discusses Israeli policies and practices through the lens of the international prohibition </w:t>
      </w:r>
      <w:r w:rsidR="00732F9C">
        <w:rPr>
          <w:lang w:eastAsia="en-GB"/>
        </w:rPr>
        <w:t xml:space="preserve">of </w:t>
      </w:r>
      <w:r>
        <w:rPr>
          <w:lang w:eastAsia="en-GB"/>
        </w:rPr>
        <w:t>ethnic discrimination, segregation</w:t>
      </w:r>
      <w:r w:rsidRPr="00856AF2">
        <w:rPr>
          <w:lang w:eastAsia="en-GB"/>
        </w:rPr>
        <w:t xml:space="preserve"> and apartheid. </w:t>
      </w:r>
    </w:p>
    <w:p w:rsidR="00C05D53" w:rsidRPr="00856AF2" w:rsidRDefault="00C05D53" w:rsidP="00B577E3">
      <w:pPr>
        <w:pStyle w:val="H23G"/>
      </w:pPr>
      <w:r>
        <w:tab/>
      </w:r>
      <w:r>
        <w:tab/>
      </w:r>
      <w:r w:rsidRPr="004E403B">
        <w:t xml:space="preserve">Legal </w:t>
      </w:r>
      <w:r w:rsidR="007F5C54">
        <w:t>f</w:t>
      </w:r>
      <w:r w:rsidRPr="004E403B">
        <w:t>ramework</w:t>
      </w:r>
    </w:p>
    <w:p w:rsidR="00C05D53" w:rsidRDefault="00C05D53" w:rsidP="005A4DB3">
      <w:pPr>
        <w:pStyle w:val="SingleTxtG"/>
        <w:numPr>
          <w:ilvl w:val="0"/>
          <w:numId w:val="10"/>
        </w:numPr>
        <w:ind w:left="1134" w:firstLine="1"/>
        <w:rPr>
          <w:lang w:eastAsia="en-GB"/>
        </w:rPr>
      </w:pPr>
      <w:r>
        <w:rPr>
          <w:lang w:eastAsia="en-GB"/>
        </w:rPr>
        <w:t xml:space="preserve">Apartheid is prohibited </w:t>
      </w:r>
      <w:r w:rsidRPr="00856AF2">
        <w:rPr>
          <w:lang w:eastAsia="en-GB"/>
        </w:rPr>
        <w:t xml:space="preserve">under international law, and </w:t>
      </w:r>
      <w:smartTag w:uri="urn:schemas-microsoft-com:office:smarttags" w:element="country-region">
        <w:smartTag w:uri="urn:schemas-microsoft-com:office:smarttags" w:element="place">
          <w:r w:rsidRPr="00856AF2">
            <w:rPr>
              <w:lang w:eastAsia="en-GB"/>
            </w:rPr>
            <w:t>Israel</w:t>
          </w:r>
        </w:smartTag>
      </w:smartTag>
      <w:r w:rsidRPr="00856AF2">
        <w:rPr>
          <w:lang w:eastAsia="en-GB"/>
        </w:rPr>
        <w:t xml:space="preserve">, as a State and an occupying </w:t>
      </w:r>
      <w:r w:rsidR="00BD7F5E">
        <w:rPr>
          <w:lang w:eastAsia="en-GB"/>
        </w:rPr>
        <w:t>P</w:t>
      </w:r>
      <w:r w:rsidRPr="00856AF2">
        <w:rPr>
          <w:lang w:eastAsia="en-GB"/>
        </w:rPr>
        <w:t xml:space="preserve">ower, is bound by </w:t>
      </w:r>
      <w:r>
        <w:rPr>
          <w:lang w:eastAsia="en-GB"/>
        </w:rPr>
        <w:t>this</w:t>
      </w:r>
      <w:r w:rsidRPr="00856AF2">
        <w:rPr>
          <w:lang w:eastAsia="en-GB"/>
        </w:rPr>
        <w:t xml:space="preserve"> prohibition. </w:t>
      </w:r>
      <w:r w:rsidR="00324A13">
        <w:rPr>
          <w:lang w:eastAsia="en-GB"/>
        </w:rPr>
        <w:t xml:space="preserve">Under </w:t>
      </w:r>
      <w:r w:rsidR="00D15CFF" w:rsidRPr="00D15CFF">
        <w:rPr>
          <w:lang w:eastAsia="en-GB"/>
        </w:rPr>
        <w:t xml:space="preserve">Protocol </w:t>
      </w:r>
      <w:r w:rsidR="00D15CFF">
        <w:rPr>
          <w:lang w:eastAsia="en-GB"/>
        </w:rPr>
        <w:t xml:space="preserve">I </w:t>
      </w:r>
      <w:r w:rsidR="00D15CFF" w:rsidRPr="00D15CFF">
        <w:rPr>
          <w:lang w:eastAsia="en-GB"/>
        </w:rPr>
        <w:t>additional to the Geneva</w:t>
      </w:r>
      <w:r w:rsidR="00D15CFF">
        <w:rPr>
          <w:lang w:eastAsia="en-GB"/>
        </w:rPr>
        <w:t xml:space="preserve"> Conventions</w:t>
      </w:r>
      <w:r w:rsidR="00367B13">
        <w:rPr>
          <w:lang w:eastAsia="en-GB"/>
        </w:rPr>
        <w:t>,</w:t>
      </w:r>
      <w:r w:rsidR="001B5512" w:rsidRPr="001B5512">
        <w:rPr>
          <w:lang w:eastAsia="en-GB"/>
        </w:rPr>
        <w:t xml:space="preserve"> </w:t>
      </w:r>
      <w:r w:rsidR="00367B13">
        <w:rPr>
          <w:lang w:eastAsia="en-GB"/>
        </w:rPr>
        <w:t>which</w:t>
      </w:r>
      <w:r w:rsidR="00367B13" w:rsidRPr="00856AF2">
        <w:rPr>
          <w:lang w:eastAsia="en-GB"/>
        </w:rPr>
        <w:t xml:space="preserve"> is declaratory of international law and therefore widely regarded as universally binding</w:t>
      </w:r>
      <w:r w:rsidR="00367B13">
        <w:rPr>
          <w:lang w:eastAsia="en-GB"/>
        </w:rPr>
        <w:t>,</w:t>
      </w:r>
      <w:r w:rsidR="00367B13" w:rsidRPr="001B5512">
        <w:rPr>
          <w:lang w:eastAsia="en-GB"/>
        </w:rPr>
        <w:t xml:space="preserve"> </w:t>
      </w:r>
      <w:r w:rsidR="005A4DB3">
        <w:rPr>
          <w:lang w:eastAsia="en-GB"/>
        </w:rPr>
        <w:t>“</w:t>
      </w:r>
      <w:r w:rsidR="00324A13" w:rsidRPr="00324A13">
        <w:rPr>
          <w:lang w:eastAsia="en-GB"/>
        </w:rPr>
        <w:t xml:space="preserve">practices of </w:t>
      </w:r>
      <w:r w:rsidR="005A4DB3">
        <w:rPr>
          <w:lang w:eastAsia="en-GB"/>
        </w:rPr>
        <w:t>‘</w:t>
      </w:r>
      <w:r w:rsidR="00324A13" w:rsidRPr="00324A13">
        <w:rPr>
          <w:lang w:eastAsia="en-GB"/>
        </w:rPr>
        <w:t>apartheid</w:t>
      </w:r>
      <w:r w:rsidR="005A4DB3">
        <w:rPr>
          <w:lang w:eastAsia="en-GB"/>
        </w:rPr>
        <w:t>’</w:t>
      </w:r>
      <w:r w:rsidR="00324A13" w:rsidRPr="00324A13">
        <w:rPr>
          <w:lang w:eastAsia="en-GB"/>
        </w:rPr>
        <w:t xml:space="preserve"> and other inhuman and degrading practices involving outrages upon personal dignity, based on racial discrimination</w:t>
      </w:r>
      <w:r w:rsidR="005A4DB3">
        <w:rPr>
          <w:lang w:eastAsia="en-GB"/>
        </w:rPr>
        <w:t>”</w:t>
      </w:r>
      <w:r w:rsidR="00367B13">
        <w:rPr>
          <w:lang w:eastAsia="en-GB"/>
        </w:rPr>
        <w:t xml:space="preserve"> are </w:t>
      </w:r>
      <w:r>
        <w:rPr>
          <w:lang w:eastAsia="en-GB"/>
        </w:rPr>
        <w:t>included as grave breach</w:t>
      </w:r>
      <w:r w:rsidR="00324A13">
        <w:rPr>
          <w:lang w:eastAsia="en-GB"/>
        </w:rPr>
        <w:t>es</w:t>
      </w:r>
      <w:r w:rsidR="005A4DB3">
        <w:rPr>
          <w:lang w:eastAsia="en-GB"/>
        </w:rPr>
        <w:t>.</w:t>
      </w:r>
      <w:r w:rsidRPr="00367B13">
        <w:rPr>
          <w:sz w:val="18"/>
          <w:vertAlign w:val="superscript"/>
          <w:lang w:eastAsia="en-GB"/>
        </w:rPr>
        <w:footnoteReference w:id="57"/>
      </w:r>
      <w:r w:rsidR="00367B13">
        <w:rPr>
          <w:lang w:eastAsia="en-GB"/>
        </w:rPr>
        <w:t xml:space="preserve"> Further,</w:t>
      </w:r>
      <w:r w:rsidRPr="00856AF2">
        <w:rPr>
          <w:lang w:eastAsia="en-GB"/>
        </w:rPr>
        <w:t xml:space="preserve"> </w:t>
      </w:r>
      <w:r>
        <w:rPr>
          <w:lang w:eastAsia="en-GB"/>
        </w:rPr>
        <w:t>t</w:t>
      </w:r>
      <w:r w:rsidRPr="00856AF2">
        <w:rPr>
          <w:lang w:eastAsia="en-GB"/>
        </w:rPr>
        <w:t xml:space="preserve">he International Law Commission has </w:t>
      </w:r>
      <w:r w:rsidR="00265E5F" w:rsidRPr="006F2AB2">
        <w:rPr>
          <w:lang w:eastAsia="en-GB"/>
        </w:rPr>
        <w:t>noted</w:t>
      </w:r>
      <w:r w:rsidR="00A304C7">
        <w:rPr>
          <w:lang w:eastAsia="en-GB"/>
        </w:rPr>
        <w:t xml:space="preserve"> that</w:t>
      </w:r>
      <w:r w:rsidRPr="00856AF2">
        <w:rPr>
          <w:lang w:eastAsia="en-GB"/>
        </w:rPr>
        <w:t xml:space="preserve"> </w:t>
      </w:r>
      <w:r w:rsidR="00A304C7">
        <w:rPr>
          <w:lang w:eastAsia="en-GB"/>
        </w:rPr>
        <w:t xml:space="preserve">Governments at the </w:t>
      </w:r>
      <w:r w:rsidR="006F2AB2">
        <w:rPr>
          <w:lang w:eastAsia="en-GB"/>
        </w:rPr>
        <w:t>United Nations</w:t>
      </w:r>
      <w:r w:rsidR="00A304C7">
        <w:rPr>
          <w:lang w:eastAsia="en-GB"/>
        </w:rPr>
        <w:t xml:space="preserve"> Conference</w:t>
      </w:r>
      <w:r w:rsidR="00265E5F">
        <w:rPr>
          <w:lang w:eastAsia="en-GB"/>
        </w:rPr>
        <w:t xml:space="preserve"> on the Law of Treaties</w:t>
      </w:r>
      <w:r w:rsidR="00B81541">
        <w:rPr>
          <w:lang w:eastAsia="en-GB"/>
        </w:rPr>
        <w:t xml:space="preserve"> (1968)</w:t>
      </w:r>
      <w:r w:rsidR="00A304C7" w:rsidRPr="00856AF2">
        <w:rPr>
          <w:lang w:eastAsia="en-GB"/>
        </w:rPr>
        <w:t xml:space="preserve"> </w:t>
      </w:r>
      <w:r w:rsidR="00A304C7">
        <w:rPr>
          <w:lang w:eastAsia="en-GB"/>
        </w:rPr>
        <w:t xml:space="preserve">generally agreed that </w:t>
      </w:r>
      <w:r w:rsidRPr="00856AF2">
        <w:rPr>
          <w:lang w:eastAsia="en-GB"/>
        </w:rPr>
        <w:t xml:space="preserve">the prohibitions </w:t>
      </w:r>
      <w:r w:rsidR="00A304C7">
        <w:rPr>
          <w:lang w:eastAsia="en-GB"/>
        </w:rPr>
        <w:t>constituting peremptory norms included apartheid.</w:t>
      </w:r>
      <w:r w:rsidRPr="00367B13">
        <w:rPr>
          <w:sz w:val="18"/>
          <w:vertAlign w:val="superscript"/>
          <w:lang w:eastAsia="en-GB"/>
        </w:rPr>
        <w:footnoteReference w:id="58"/>
      </w:r>
      <w:r w:rsidRPr="004E403B">
        <w:rPr>
          <w:lang w:eastAsia="en-GB"/>
        </w:rPr>
        <w:t xml:space="preserve"> </w:t>
      </w:r>
      <w:r>
        <w:rPr>
          <w:lang w:eastAsia="en-GB"/>
        </w:rPr>
        <w:t xml:space="preserve">In addition, article 3 of </w:t>
      </w:r>
      <w:r w:rsidRPr="00856AF2">
        <w:rPr>
          <w:lang w:eastAsia="en-GB"/>
        </w:rPr>
        <w:t xml:space="preserve">the International Convention on the Elimination of All Forms of Racial Discrimination provides that “States Parties particularly condemn racial segregation and </w:t>
      </w:r>
      <w:r w:rsidRPr="00360FE6">
        <w:rPr>
          <w:i/>
          <w:lang w:eastAsia="en-GB"/>
        </w:rPr>
        <w:t>apartheid</w:t>
      </w:r>
      <w:r w:rsidRPr="00856AF2">
        <w:rPr>
          <w:lang w:eastAsia="en-GB"/>
        </w:rPr>
        <w:t xml:space="preserve"> and undertake to prevent, prohibit and eradicate all practices of this nature in territories under their jurisdiction”</w:t>
      </w:r>
      <w:r w:rsidR="005A4DB3">
        <w:rPr>
          <w:lang w:eastAsia="en-GB"/>
        </w:rPr>
        <w:t>.</w:t>
      </w:r>
      <w:r w:rsidRPr="00367B13">
        <w:rPr>
          <w:sz w:val="18"/>
          <w:vertAlign w:val="superscript"/>
          <w:lang w:eastAsia="en-GB"/>
        </w:rPr>
        <w:footnoteReference w:id="59"/>
      </w:r>
      <w:r w:rsidRPr="00856AF2">
        <w:rPr>
          <w:lang w:eastAsia="en-GB"/>
        </w:rPr>
        <w:t xml:space="preserve"> At the </w:t>
      </w:r>
      <w:r>
        <w:rPr>
          <w:lang w:eastAsia="en-GB"/>
        </w:rPr>
        <w:t xml:space="preserve">second </w:t>
      </w:r>
      <w:r w:rsidR="009A54D1">
        <w:rPr>
          <w:lang w:eastAsia="en-GB"/>
        </w:rPr>
        <w:t>u</w:t>
      </w:r>
      <w:r w:rsidRPr="00856AF2">
        <w:rPr>
          <w:lang w:eastAsia="en-GB"/>
        </w:rPr>
        <w:t xml:space="preserve">niversal </w:t>
      </w:r>
      <w:r w:rsidR="009A54D1">
        <w:rPr>
          <w:lang w:eastAsia="en-GB"/>
        </w:rPr>
        <w:t>p</w:t>
      </w:r>
      <w:r w:rsidRPr="00856AF2">
        <w:rPr>
          <w:lang w:eastAsia="en-GB"/>
        </w:rPr>
        <w:t xml:space="preserve">eriodic </w:t>
      </w:r>
      <w:r w:rsidR="009A54D1">
        <w:rPr>
          <w:lang w:eastAsia="en-GB"/>
        </w:rPr>
        <w:t>r</w:t>
      </w:r>
      <w:r w:rsidRPr="00856AF2">
        <w:rPr>
          <w:lang w:eastAsia="en-GB"/>
        </w:rPr>
        <w:t>eview</w:t>
      </w:r>
      <w:r>
        <w:rPr>
          <w:lang w:eastAsia="en-GB"/>
        </w:rPr>
        <w:t xml:space="preserve"> of </w:t>
      </w:r>
      <w:smartTag w:uri="urn:schemas-microsoft-com:office:smarttags" w:element="country-region">
        <w:r>
          <w:rPr>
            <w:lang w:eastAsia="en-GB"/>
          </w:rPr>
          <w:t>Israel</w:t>
        </w:r>
      </w:smartTag>
      <w:r w:rsidRPr="00856AF2">
        <w:rPr>
          <w:lang w:eastAsia="en-GB"/>
        </w:rPr>
        <w:t xml:space="preserve"> in</w:t>
      </w:r>
      <w:r>
        <w:rPr>
          <w:lang w:eastAsia="en-GB"/>
        </w:rPr>
        <w:t xml:space="preserve"> October</w:t>
      </w:r>
      <w:r w:rsidRPr="00856AF2">
        <w:rPr>
          <w:lang w:eastAsia="en-GB"/>
        </w:rPr>
        <w:t xml:space="preserve"> 2013, </w:t>
      </w:r>
      <w:smartTag w:uri="urn:schemas-microsoft-com:office:smarttags" w:element="country-region">
        <w:r w:rsidRPr="00856AF2">
          <w:rPr>
            <w:lang w:eastAsia="en-GB"/>
          </w:rPr>
          <w:t>South Africa</w:t>
        </w:r>
      </w:smartTag>
      <w:r w:rsidRPr="00856AF2">
        <w:rPr>
          <w:lang w:eastAsia="en-GB"/>
        </w:rPr>
        <w:t xml:space="preserve"> recommended that </w:t>
      </w:r>
      <w:smartTag w:uri="urn:schemas-microsoft-com:office:smarttags" w:element="country-region">
        <w:smartTag w:uri="urn:schemas-microsoft-com:office:smarttags" w:element="place">
          <w:r w:rsidRPr="00856AF2">
            <w:rPr>
              <w:lang w:eastAsia="en-GB"/>
            </w:rPr>
            <w:t>Israel</w:t>
          </w:r>
        </w:smartTag>
      </w:smartTag>
      <w:r w:rsidRPr="00856AF2">
        <w:rPr>
          <w:lang w:eastAsia="en-GB"/>
        </w:rPr>
        <w:t xml:space="preserve"> “</w:t>
      </w:r>
      <w:r w:rsidR="009A54D1">
        <w:rPr>
          <w:lang w:eastAsia="en-GB"/>
        </w:rPr>
        <w:t>p</w:t>
      </w:r>
      <w:r w:rsidRPr="00856AF2">
        <w:rPr>
          <w:lang w:eastAsia="en-GB"/>
        </w:rPr>
        <w:t>rohibit policies and practices of racial segregation that disproportionately affect the Palestinian population in the</w:t>
      </w:r>
      <w:r w:rsidR="004D7C42">
        <w:rPr>
          <w:lang w:eastAsia="en-GB"/>
        </w:rPr>
        <w:t> </w:t>
      </w:r>
      <w:r w:rsidRPr="00856AF2">
        <w:rPr>
          <w:lang w:eastAsia="en-GB"/>
        </w:rPr>
        <w:t>OPT</w:t>
      </w:r>
      <w:r w:rsidR="00B81A43">
        <w:rPr>
          <w:lang w:eastAsia="en-GB"/>
        </w:rPr>
        <w:t>”</w:t>
      </w:r>
      <w:r w:rsidR="009A54D1">
        <w:rPr>
          <w:lang w:eastAsia="en-GB"/>
        </w:rPr>
        <w:t xml:space="preserve"> (A/HRC/25/15, para. 136.202)</w:t>
      </w:r>
      <w:r w:rsidR="005A4DB3">
        <w:rPr>
          <w:lang w:eastAsia="en-GB"/>
        </w:rPr>
        <w:t>.</w:t>
      </w:r>
    </w:p>
    <w:p w:rsidR="00C05D53" w:rsidRPr="00856AF2" w:rsidRDefault="00C05D53" w:rsidP="00B81A43">
      <w:pPr>
        <w:pStyle w:val="SingleTxtG"/>
        <w:numPr>
          <w:ilvl w:val="0"/>
          <w:numId w:val="10"/>
        </w:numPr>
        <w:ind w:left="1134" w:firstLine="0"/>
        <w:rPr>
          <w:lang w:eastAsia="en-GB"/>
        </w:rPr>
      </w:pPr>
      <w:r w:rsidRPr="00856AF2">
        <w:rPr>
          <w:lang w:eastAsia="en-GB"/>
        </w:rPr>
        <w:t xml:space="preserve">Apartheid </w:t>
      </w:r>
      <w:r>
        <w:rPr>
          <w:lang w:eastAsia="en-GB"/>
        </w:rPr>
        <w:t>involves</w:t>
      </w:r>
      <w:r w:rsidRPr="00856AF2">
        <w:rPr>
          <w:lang w:eastAsia="en-GB"/>
        </w:rPr>
        <w:t xml:space="preserve"> the domination of one racial group over another, and some may argue that neither Israeli Jews nor Palestinians constitute racial groups </w:t>
      </w:r>
      <w:r w:rsidRPr="004E403B">
        <w:rPr>
          <w:lang w:eastAsia="en-GB"/>
        </w:rPr>
        <w:t xml:space="preserve">per se. </w:t>
      </w:r>
      <w:r w:rsidRPr="00856AF2">
        <w:rPr>
          <w:lang w:eastAsia="en-GB"/>
        </w:rPr>
        <w:t>However, article</w:t>
      </w:r>
      <w:r w:rsidR="00B81A43">
        <w:rPr>
          <w:lang w:eastAsia="en-GB"/>
        </w:rPr>
        <w:t> </w:t>
      </w:r>
      <w:r w:rsidRPr="00856AF2">
        <w:rPr>
          <w:lang w:eastAsia="en-GB"/>
        </w:rPr>
        <w:t xml:space="preserve">1 of </w:t>
      </w:r>
      <w:r w:rsidR="009A54D1">
        <w:rPr>
          <w:lang w:eastAsia="en-GB"/>
        </w:rPr>
        <w:t xml:space="preserve">the </w:t>
      </w:r>
      <w:r w:rsidR="009A54D1" w:rsidRPr="00856AF2">
        <w:rPr>
          <w:lang w:eastAsia="en-GB"/>
        </w:rPr>
        <w:t>International Convention on the Elimination of All Forms of Racial Discrimination</w:t>
      </w:r>
      <w:r w:rsidRPr="00856AF2">
        <w:rPr>
          <w:lang w:eastAsia="en-GB"/>
        </w:rPr>
        <w:t>, in its definition of racial discrimination, makes it clear that race is in fact not the sole factor</w:t>
      </w:r>
      <w:r>
        <w:rPr>
          <w:lang w:eastAsia="en-GB"/>
        </w:rPr>
        <w:t>,</w:t>
      </w:r>
      <w:r w:rsidRPr="00856AF2">
        <w:rPr>
          <w:lang w:eastAsia="en-GB"/>
        </w:rPr>
        <w:t xml:space="preserve"> but that racial discrimination may be based on “any distinction, exclusion, restriction or preference based on race, colour, descent, or national or ethnic origin”. The Committee</w:t>
      </w:r>
      <w:r w:rsidR="00917EAE">
        <w:rPr>
          <w:lang w:eastAsia="en-GB"/>
        </w:rPr>
        <w:t xml:space="preserve"> on the Elimination of Racial Discrimination</w:t>
      </w:r>
      <w:r w:rsidRPr="00856AF2">
        <w:rPr>
          <w:lang w:eastAsia="en-GB"/>
        </w:rPr>
        <w:t xml:space="preserve"> has stressed that under the definition in article</w:t>
      </w:r>
      <w:r w:rsidR="00B81A43">
        <w:rPr>
          <w:lang w:eastAsia="en-GB"/>
        </w:rPr>
        <w:t> </w:t>
      </w:r>
      <w:r w:rsidRPr="00856AF2">
        <w:rPr>
          <w:lang w:eastAsia="en-GB"/>
        </w:rPr>
        <w:t>1 “the Convention relates to all persons who belong to different races, national or ethnic groups or to indigenous peoples”</w:t>
      </w:r>
      <w:r w:rsidR="00B81A43">
        <w:rPr>
          <w:lang w:eastAsia="en-GB"/>
        </w:rPr>
        <w:t>.</w:t>
      </w:r>
      <w:r w:rsidRPr="004E403B">
        <w:rPr>
          <w:sz w:val="18"/>
          <w:vertAlign w:val="superscript"/>
          <w:lang w:eastAsia="en-GB"/>
        </w:rPr>
        <w:footnoteReference w:id="60"/>
      </w:r>
    </w:p>
    <w:p w:rsidR="00C05D53" w:rsidRPr="00856AF2" w:rsidRDefault="00C05D53" w:rsidP="00FC7386">
      <w:pPr>
        <w:pStyle w:val="SingleTxtG"/>
        <w:numPr>
          <w:ilvl w:val="0"/>
          <w:numId w:val="10"/>
        </w:numPr>
        <w:ind w:left="1134" w:firstLine="0"/>
        <w:rPr>
          <w:lang w:eastAsia="en-GB"/>
        </w:rPr>
      </w:pPr>
      <w:r w:rsidRPr="00856AF2">
        <w:rPr>
          <w:lang w:eastAsia="en-GB"/>
        </w:rPr>
        <w:t>The International Convention on the Suppression and Punishment of the Crime of Apartheid</w:t>
      </w:r>
      <w:r w:rsidR="00917EAE">
        <w:rPr>
          <w:lang w:eastAsia="en-GB"/>
        </w:rPr>
        <w:t>,</w:t>
      </w:r>
      <w:r w:rsidRPr="00856AF2">
        <w:rPr>
          <w:lang w:eastAsia="en-GB"/>
        </w:rPr>
        <w:t xml:space="preserve"> in article</w:t>
      </w:r>
      <w:r w:rsidR="00B81A43">
        <w:rPr>
          <w:lang w:eastAsia="en-GB"/>
        </w:rPr>
        <w:t> </w:t>
      </w:r>
      <w:r w:rsidRPr="00856AF2">
        <w:rPr>
          <w:lang w:eastAsia="en-GB"/>
        </w:rPr>
        <w:t>2, provides a detailed definition</w:t>
      </w:r>
      <w:r>
        <w:rPr>
          <w:lang w:eastAsia="en-GB"/>
        </w:rPr>
        <w:t xml:space="preserve"> of the crime of apartheid</w:t>
      </w:r>
      <w:r w:rsidRPr="00856AF2">
        <w:rPr>
          <w:lang w:eastAsia="en-GB"/>
        </w:rPr>
        <w:t>,</w:t>
      </w:r>
      <w:r>
        <w:rPr>
          <w:lang w:eastAsia="en-GB"/>
        </w:rPr>
        <w:t xml:space="preserve"> providing that it “</w:t>
      </w:r>
      <w:r w:rsidRPr="00856AF2">
        <w:rPr>
          <w:lang w:eastAsia="en-GB"/>
        </w:rPr>
        <w:t>shall include similar policies and practices of racial segregation and discrimination as practised in southern Africa</w:t>
      </w:r>
      <w:r>
        <w:rPr>
          <w:lang w:eastAsia="en-GB"/>
        </w:rPr>
        <w:t>”</w:t>
      </w:r>
      <w:r w:rsidR="00FC7386">
        <w:rPr>
          <w:lang w:eastAsia="en-GB"/>
        </w:rPr>
        <w:t>,</w:t>
      </w:r>
      <w:r>
        <w:rPr>
          <w:lang w:eastAsia="en-GB"/>
        </w:rPr>
        <w:t xml:space="preserve"> and applies to</w:t>
      </w:r>
      <w:r w:rsidRPr="00856AF2">
        <w:rPr>
          <w:lang w:eastAsia="en-GB"/>
        </w:rPr>
        <w:t xml:space="preserve"> </w:t>
      </w:r>
      <w:r>
        <w:rPr>
          <w:lang w:eastAsia="en-GB"/>
        </w:rPr>
        <w:t>“</w:t>
      </w:r>
      <w:r w:rsidRPr="00856AF2">
        <w:rPr>
          <w:lang w:eastAsia="en-GB"/>
        </w:rPr>
        <w:t xml:space="preserve">inhuman acts committed for the purpose of establishing and maintaining domination by one racial group of persons over any other racial group of persons and systematically oppressing them”. The Rome Statute </w:t>
      </w:r>
      <w:r>
        <w:rPr>
          <w:lang w:eastAsia="en-GB"/>
        </w:rPr>
        <w:t xml:space="preserve">of the International Criminal Court </w:t>
      </w:r>
      <w:r w:rsidRPr="00856AF2">
        <w:rPr>
          <w:lang w:eastAsia="en-GB"/>
        </w:rPr>
        <w:t>echoes the</w:t>
      </w:r>
      <w:r>
        <w:rPr>
          <w:lang w:eastAsia="en-GB"/>
        </w:rPr>
        <w:t>se</w:t>
      </w:r>
      <w:r w:rsidRPr="00856AF2">
        <w:rPr>
          <w:lang w:eastAsia="en-GB"/>
        </w:rPr>
        <w:t xml:space="preserve"> core elements </w:t>
      </w:r>
      <w:r>
        <w:rPr>
          <w:lang w:eastAsia="en-GB"/>
        </w:rPr>
        <w:t>(art</w:t>
      </w:r>
      <w:r w:rsidR="00CE0C88">
        <w:rPr>
          <w:lang w:eastAsia="en-GB"/>
        </w:rPr>
        <w:t>. </w:t>
      </w:r>
      <w:r>
        <w:rPr>
          <w:lang w:eastAsia="en-GB"/>
        </w:rPr>
        <w:t>7</w:t>
      </w:r>
      <w:r w:rsidR="00917EAE">
        <w:rPr>
          <w:lang w:eastAsia="en-GB"/>
        </w:rPr>
        <w:t xml:space="preserve">, para. </w:t>
      </w:r>
      <w:r w:rsidRPr="00E63926">
        <w:rPr>
          <w:lang w:eastAsia="en-GB"/>
        </w:rPr>
        <w:t>2(h</w:t>
      </w:r>
      <w:r>
        <w:rPr>
          <w:lang w:eastAsia="en-GB"/>
        </w:rPr>
        <w:t xml:space="preserve">)) </w:t>
      </w:r>
      <w:r w:rsidRPr="00856AF2">
        <w:rPr>
          <w:lang w:eastAsia="en-GB"/>
        </w:rPr>
        <w:t>and further specifies that for such acts to constitute “crimes against humanity” they must be “committed as part of a widespread or systematic attack directed against any civilian population, with knowledge of the attack”</w:t>
      </w:r>
      <w:r w:rsidR="00917EAE">
        <w:rPr>
          <w:lang w:eastAsia="en-GB"/>
        </w:rPr>
        <w:t xml:space="preserve"> (art. 7, para. 1)</w:t>
      </w:r>
      <w:r w:rsidRPr="00856AF2">
        <w:rPr>
          <w:lang w:eastAsia="en-GB"/>
        </w:rPr>
        <w:t>. Without prejudice to any possible differences in the elements of apartheid as an international crime and an internationally wrongful act, apartheid will be treated as a single concept for the purpose of th</w:t>
      </w:r>
      <w:r w:rsidR="005F66FF">
        <w:rPr>
          <w:lang w:eastAsia="en-GB"/>
        </w:rPr>
        <w:t>e present</w:t>
      </w:r>
      <w:r w:rsidRPr="00856AF2">
        <w:rPr>
          <w:lang w:eastAsia="en-GB"/>
        </w:rPr>
        <w:t xml:space="preserve"> report, </w:t>
      </w:r>
      <w:r>
        <w:rPr>
          <w:lang w:eastAsia="en-GB"/>
        </w:rPr>
        <w:t>which will be framed around the inhuman acts laid out in article</w:t>
      </w:r>
      <w:r w:rsidR="00B81A43">
        <w:rPr>
          <w:lang w:eastAsia="en-GB"/>
        </w:rPr>
        <w:t> </w:t>
      </w:r>
      <w:r>
        <w:rPr>
          <w:lang w:eastAsia="en-GB"/>
        </w:rPr>
        <w:t>2(a)</w:t>
      </w:r>
      <w:r w:rsidR="005F66FF">
        <w:rPr>
          <w:lang w:eastAsia="en-GB"/>
        </w:rPr>
        <w:t>–</w:t>
      </w:r>
      <w:r>
        <w:rPr>
          <w:lang w:eastAsia="en-GB"/>
        </w:rPr>
        <w:t>(f)</w:t>
      </w:r>
      <w:r w:rsidR="00B81A43">
        <w:rPr>
          <w:lang w:eastAsia="en-GB"/>
        </w:rPr>
        <w:t> </w:t>
      </w:r>
      <w:r w:rsidR="005F66FF">
        <w:rPr>
          <w:lang w:eastAsia="en-GB"/>
        </w:rPr>
        <w:t xml:space="preserve"> </w:t>
      </w:r>
      <w:r w:rsidR="005F66FF">
        <w:rPr>
          <w:lang w:eastAsia="en-GB"/>
        </w:rPr>
        <w:lastRenderedPageBreak/>
        <w:t xml:space="preserve">of the </w:t>
      </w:r>
      <w:r w:rsidR="005F66FF" w:rsidRPr="00856AF2">
        <w:rPr>
          <w:lang w:eastAsia="en-GB"/>
        </w:rPr>
        <w:t>International Convention on the Suppression and Punishment of the Crime of Apartheid</w:t>
      </w:r>
      <w:r w:rsidR="00B81A43">
        <w:rPr>
          <w:lang w:eastAsia="en-GB"/>
        </w:rPr>
        <w:t>.</w:t>
      </w:r>
      <w:r w:rsidRPr="004E403B">
        <w:rPr>
          <w:sz w:val="18"/>
          <w:vertAlign w:val="superscript"/>
          <w:lang w:eastAsia="en-GB"/>
        </w:rPr>
        <w:footnoteReference w:id="61"/>
      </w:r>
    </w:p>
    <w:p w:rsidR="00C05D53" w:rsidRPr="004E403B" w:rsidRDefault="00C05D53" w:rsidP="00B577E3">
      <w:pPr>
        <w:pStyle w:val="H23G"/>
      </w:pPr>
      <w:r>
        <w:tab/>
      </w:r>
      <w:r>
        <w:tab/>
      </w:r>
      <w:r w:rsidRPr="004E403B">
        <w:t>Acts potentially amounting to segregation and apartheid</w:t>
      </w:r>
    </w:p>
    <w:p w:rsidR="00C05D53" w:rsidRPr="00856AF2" w:rsidRDefault="00C05D53" w:rsidP="00B81A43">
      <w:pPr>
        <w:pStyle w:val="SingleTxtG"/>
        <w:numPr>
          <w:ilvl w:val="0"/>
          <w:numId w:val="10"/>
        </w:numPr>
        <w:ind w:left="1134" w:firstLine="0"/>
        <w:rPr>
          <w:lang w:eastAsia="en-GB"/>
        </w:rPr>
      </w:pPr>
      <w:r w:rsidRPr="006A5D2D">
        <w:rPr>
          <w:lang w:eastAsia="en-GB"/>
        </w:rPr>
        <w:t>Article 2(a) concerns denial of the right to life and liberty of person, including by (i)</w:t>
      </w:r>
      <w:r w:rsidR="00B81A43">
        <w:rPr>
          <w:lang w:eastAsia="en-GB"/>
        </w:rPr>
        <w:t> </w:t>
      </w:r>
      <w:r w:rsidRPr="006A5D2D">
        <w:rPr>
          <w:lang w:eastAsia="en-GB"/>
        </w:rPr>
        <w:t>murder; (ii)</w:t>
      </w:r>
      <w:r w:rsidR="00B81A43">
        <w:rPr>
          <w:lang w:eastAsia="en-GB"/>
        </w:rPr>
        <w:t> </w:t>
      </w:r>
      <w:r w:rsidRPr="006A5D2D">
        <w:rPr>
          <w:lang w:eastAsia="en-GB"/>
        </w:rPr>
        <w:t>serious bodily and mental harm, infringement of freedom, and torture, and (iii)</w:t>
      </w:r>
      <w:r w:rsidR="00B81A43">
        <w:rPr>
          <w:lang w:eastAsia="en-GB"/>
        </w:rPr>
        <w:t> </w:t>
      </w:r>
      <w:r w:rsidRPr="006A5D2D">
        <w:rPr>
          <w:lang w:eastAsia="en-GB"/>
        </w:rPr>
        <w:t xml:space="preserve">arbitrary arrest and illegal imprisonment. </w:t>
      </w:r>
      <w:r w:rsidRPr="00856AF2">
        <w:rPr>
          <w:lang w:eastAsia="en-GB"/>
        </w:rPr>
        <w:t>With respect to article</w:t>
      </w:r>
      <w:r w:rsidR="00B81A43">
        <w:rPr>
          <w:lang w:eastAsia="en-GB"/>
        </w:rPr>
        <w:t> </w:t>
      </w:r>
      <w:r w:rsidRPr="00856AF2">
        <w:rPr>
          <w:lang w:eastAsia="en-GB"/>
        </w:rPr>
        <w:t xml:space="preserve">2(a)(i), continuing excessive use of force by Israeli </w:t>
      </w:r>
      <w:r w:rsidR="00890C3C">
        <w:rPr>
          <w:lang w:eastAsia="en-GB"/>
        </w:rPr>
        <w:t>s</w:t>
      </w:r>
      <w:r w:rsidRPr="00856AF2">
        <w:rPr>
          <w:lang w:eastAsia="en-GB"/>
        </w:rPr>
        <w:t xml:space="preserve">ecurity </w:t>
      </w:r>
      <w:r w:rsidR="00890C3C">
        <w:rPr>
          <w:lang w:eastAsia="en-GB"/>
        </w:rPr>
        <w:t>f</w:t>
      </w:r>
      <w:r w:rsidRPr="00856AF2">
        <w:rPr>
          <w:lang w:eastAsia="en-GB"/>
        </w:rPr>
        <w:t>orces (ISF)</w:t>
      </w:r>
      <w:r>
        <w:rPr>
          <w:lang w:eastAsia="en-GB"/>
        </w:rPr>
        <w:t xml:space="preserve"> and a lack of </w:t>
      </w:r>
      <w:r w:rsidRPr="00856AF2">
        <w:rPr>
          <w:lang w:eastAsia="en-GB"/>
        </w:rPr>
        <w:t>accountability</w:t>
      </w:r>
      <w:r>
        <w:rPr>
          <w:lang w:eastAsia="en-GB"/>
        </w:rPr>
        <w:t xml:space="preserve"> for</w:t>
      </w:r>
      <w:r w:rsidRPr="00856AF2">
        <w:rPr>
          <w:lang w:eastAsia="en-GB"/>
        </w:rPr>
        <w:t xml:space="preserve"> violations of </w:t>
      </w:r>
      <w:r w:rsidR="00BB5817">
        <w:rPr>
          <w:lang w:eastAsia="en-GB"/>
        </w:rPr>
        <w:t>international humanitarian law</w:t>
      </w:r>
      <w:r w:rsidRPr="00856AF2">
        <w:rPr>
          <w:lang w:eastAsia="en-GB"/>
        </w:rPr>
        <w:t xml:space="preserve"> and international human rights law is well-documented</w:t>
      </w:r>
      <w:r>
        <w:rPr>
          <w:lang w:eastAsia="en-GB"/>
        </w:rPr>
        <w:t xml:space="preserve"> by </w:t>
      </w:r>
      <w:r w:rsidRPr="00856AF2">
        <w:rPr>
          <w:lang w:eastAsia="en-GB"/>
        </w:rPr>
        <w:t>successive U</w:t>
      </w:r>
      <w:r w:rsidR="00890C3C">
        <w:rPr>
          <w:lang w:eastAsia="en-GB"/>
        </w:rPr>
        <w:t>nited Nations</w:t>
      </w:r>
      <w:r w:rsidRPr="00856AF2">
        <w:rPr>
          <w:lang w:eastAsia="en-GB"/>
        </w:rPr>
        <w:t xml:space="preserve"> resolutions and reports</w:t>
      </w:r>
      <w:r w:rsidR="00B81A43">
        <w:rPr>
          <w:lang w:eastAsia="en-GB"/>
        </w:rPr>
        <w:t>.</w:t>
      </w:r>
      <w:r w:rsidRPr="00A825D6">
        <w:rPr>
          <w:sz w:val="18"/>
          <w:vertAlign w:val="superscript"/>
          <w:lang w:eastAsia="en-GB"/>
        </w:rPr>
        <w:footnoteReference w:id="62"/>
      </w:r>
      <w:r w:rsidRPr="00856AF2">
        <w:rPr>
          <w:lang w:eastAsia="en-GB"/>
        </w:rPr>
        <w:t xml:space="preserve"> Palestinians are killed as a result of regular Israeli military incursions into</w:t>
      </w:r>
      <w:r>
        <w:rPr>
          <w:lang w:eastAsia="en-GB"/>
        </w:rPr>
        <w:t xml:space="preserve"> occupied</w:t>
      </w:r>
      <w:r w:rsidRPr="00856AF2">
        <w:rPr>
          <w:lang w:eastAsia="en-GB"/>
        </w:rPr>
        <w:t xml:space="preserve"> </w:t>
      </w:r>
      <w:smartTag w:uri="urn:schemas-microsoft-com:office:smarttags" w:element="place">
        <w:smartTag w:uri="urn:schemas-microsoft-com:office:smarttags" w:element="City">
          <w:r w:rsidRPr="00856AF2">
            <w:rPr>
              <w:lang w:eastAsia="en-GB"/>
            </w:rPr>
            <w:t>Palestine</w:t>
          </w:r>
        </w:smartTag>
      </w:smartTag>
      <w:r w:rsidRPr="00856AF2">
        <w:rPr>
          <w:lang w:eastAsia="en-GB"/>
        </w:rPr>
        <w:t xml:space="preserve">; lethal use of force against demonstrators; </w:t>
      </w:r>
      <w:r>
        <w:rPr>
          <w:lang w:eastAsia="en-GB"/>
        </w:rPr>
        <w:t>official endorsement</w:t>
      </w:r>
      <w:r w:rsidRPr="00856AF2">
        <w:rPr>
          <w:lang w:eastAsia="en-GB"/>
        </w:rPr>
        <w:t xml:space="preserve"> of targeted killings; and large-scale military operations.</w:t>
      </w:r>
      <w:r w:rsidRPr="009C6E82">
        <w:rPr>
          <w:sz w:val="18"/>
          <w:vertAlign w:val="superscript"/>
          <w:lang w:eastAsia="en-GB"/>
        </w:rPr>
        <w:footnoteReference w:id="63"/>
      </w:r>
    </w:p>
    <w:p w:rsidR="00C05D53" w:rsidRDefault="00C05D53" w:rsidP="00B81A43">
      <w:pPr>
        <w:pStyle w:val="SingleTxtG"/>
        <w:numPr>
          <w:ilvl w:val="0"/>
          <w:numId w:val="10"/>
        </w:numPr>
        <w:ind w:left="1134" w:firstLine="0"/>
        <w:rPr>
          <w:lang w:eastAsia="en-GB"/>
        </w:rPr>
      </w:pPr>
      <w:r>
        <w:rPr>
          <w:lang w:eastAsia="en-GB"/>
        </w:rPr>
        <w:t>According to</w:t>
      </w:r>
      <w:r w:rsidRPr="00856AF2">
        <w:rPr>
          <w:lang w:eastAsia="en-GB"/>
        </w:rPr>
        <w:t xml:space="preserve"> B’</w:t>
      </w:r>
      <w:r w:rsidR="009D3FB3">
        <w:rPr>
          <w:lang w:eastAsia="en-GB"/>
        </w:rPr>
        <w:t>T</w:t>
      </w:r>
      <w:r w:rsidRPr="00856AF2">
        <w:rPr>
          <w:lang w:eastAsia="en-GB"/>
        </w:rPr>
        <w:t xml:space="preserve">selem, between 1987 and 2000 </w:t>
      </w:r>
      <w:r w:rsidR="007E51F4">
        <w:rPr>
          <w:lang w:eastAsia="en-GB"/>
        </w:rPr>
        <w:t>just under</w:t>
      </w:r>
      <w:r w:rsidR="007E51F4" w:rsidRPr="00856AF2">
        <w:rPr>
          <w:lang w:eastAsia="en-GB"/>
        </w:rPr>
        <w:t xml:space="preserve"> </w:t>
      </w:r>
      <w:r w:rsidRPr="00856AF2">
        <w:rPr>
          <w:lang w:eastAsia="en-GB"/>
        </w:rPr>
        <w:t>1,400 Palestinians were killed by ISF</w:t>
      </w:r>
      <w:r w:rsidR="00B81A43">
        <w:rPr>
          <w:lang w:eastAsia="en-GB"/>
        </w:rPr>
        <w:t>.</w:t>
      </w:r>
      <w:r w:rsidRPr="009C6E82">
        <w:rPr>
          <w:sz w:val="18"/>
          <w:vertAlign w:val="superscript"/>
          <w:lang w:eastAsia="en-GB"/>
        </w:rPr>
        <w:footnoteReference w:id="64"/>
      </w:r>
      <w:r w:rsidRPr="00856AF2">
        <w:rPr>
          <w:lang w:eastAsia="en-GB"/>
        </w:rPr>
        <w:t xml:space="preserve"> After</w:t>
      </w:r>
      <w:r>
        <w:rPr>
          <w:lang w:eastAsia="en-GB"/>
        </w:rPr>
        <w:t xml:space="preserve"> the</w:t>
      </w:r>
      <w:r w:rsidRPr="00856AF2">
        <w:rPr>
          <w:lang w:eastAsia="en-GB"/>
        </w:rPr>
        <w:t xml:space="preserve"> year 2000, deaths of Palestinians caused by ISF accelerated</w:t>
      </w:r>
      <w:r w:rsidR="00BD17CF">
        <w:rPr>
          <w:lang w:eastAsia="en-GB"/>
        </w:rPr>
        <w:t>,</w:t>
      </w:r>
      <w:r>
        <w:rPr>
          <w:lang w:eastAsia="en-GB"/>
        </w:rPr>
        <w:t xml:space="preserve"> with </w:t>
      </w:r>
      <w:r w:rsidRPr="00856AF2">
        <w:rPr>
          <w:lang w:eastAsia="en-GB"/>
        </w:rPr>
        <w:t>more than 6,</w:t>
      </w:r>
      <w:r w:rsidR="00ED6160">
        <w:rPr>
          <w:lang w:eastAsia="en-GB"/>
        </w:rPr>
        <w:t>7</w:t>
      </w:r>
      <w:r w:rsidR="007E51F4" w:rsidRPr="00856AF2">
        <w:rPr>
          <w:lang w:eastAsia="en-GB"/>
        </w:rPr>
        <w:t xml:space="preserve">00 </w:t>
      </w:r>
      <w:r>
        <w:rPr>
          <w:lang w:eastAsia="en-GB"/>
        </w:rPr>
        <w:t>deaths</w:t>
      </w:r>
      <w:r w:rsidR="00B81A43">
        <w:rPr>
          <w:lang w:eastAsia="en-GB"/>
        </w:rPr>
        <w:t>,</w:t>
      </w:r>
      <w:r>
        <w:rPr>
          <w:lang w:eastAsia="en-GB"/>
        </w:rPr>
        <w:t xml:space="preserve"> as </w:t>
      </w:r>
      <w:r w:rsidR="00BD17CF">
        <w:rPr>
          <w:lang w:eastAsia="en-GB"/>
        </w:rPr>
        <w:t xml:space="preserve">at </w:t>
      </w:r>
      <w:r>
        <w:rPr>
          <w:lang w:eastAsia="en-GB"/>
        </w:rPr>
        <w:t>October 2013.</w:t>
      </w:r>
      <w:r w:rsidR="00BD17CF" w:rsidRPr="009C6E82">
        <w:rPr>
          <w:sz w:val="18"/>
          <w:vertAlign w:val="superscript"/>
          <w:lang w:eastAsia="en-GB"/>
        </w:rPr>
        <w:footnoteReference w:id="65"/>
      </w:r>
      <w:r w:rsidRPr="009C6E82">
        <w:rPr>
          <w:lang w:eastAsia="en-GB"/>
        </w:rPr>
        <w:t xml:space="preserve"> </w:t>
      </w:r>
      <w:r>
        <w:rPr>
          <w:lang w:eastAsia="en-GB"/>
        </w:rPr>
        <w:t>O</w:t>
      </w:r>
      <w:r w:rsidRPr="00856AF2">
        <w:rPr>
          <w:lang w:eastAsia="en-GB"/>
        </w:rPr>
        <w:t>f</w:t>
      </w:r>
      <w:r>
        <w:rPr>
          <w:lang w:eastAsia="en-GB"/>
        </w:rPr>
        <w:t xml:space="preserve"> this number,</w:t>
      </w:r>
      <w:r w:rsidRPr="00856AF2">
        <w:rPr>
          <w:lang w:eastAsia="en-GB"/>
        </w:rPr>
        <w:t xml:space="preserve"> over 3,</w:t>
      </w:r>
      <w:r w:rsidR="007E51F4">
        <w:rPr>
          <w:lang w:eastAsia="en-GB"/>
        </w:rPr>
        <w:t>1</w:t>
      </w:r>
      <w:r w:rsidR="007E51F4" w:rsidRPr="00856AF2">
        <w:rPr>
          <w:lang w:eastAsia="en-GB"/>
        </w:rPr>
        <w:t xml:space="preserve">00 </w:t>
      </w:r>
      <w:r w:rsidRPr="00856AF2">
        <w:rPr>
          <w:lang w:eastAsia="en-GB"/>
        </w:rPr>
        <w:t>were civilians not involved in hostilities. B’</w:t>
      </w:r>
      <w:r w:rsidR="00BD17CF">
        <w:rPr>
          <w:lang w:eastAsia="en-GB"/>
        </w:rPr>
        <w:t>T</w:t>
      </w:r>
      <w:r w:rsidRPr="00856AF2">
        <w:rPr>
          <w:lang w:eastAsia="en-GB"/>
        </w:rPr>
        <w:t xml:space="preserve">selem’s statistics show that during </w:t>
      </w:r>
      <w:smartTag w:uri="urn:schemas-microsoft-com:office:smarttags" w:element="country-region">
        <w:r w:rsidRPr="00360FE6">
          <w:rPr>
            <w:lang w:eastAsia="en-GB"/>
          </w:rPr>
          <w:t>Israel</w:t>
        </w:r>
      </w:smartTag>
      <w:r w:rsidRPr="00360FE6">
        <w:rPr>
          <w:lang w:eastAsia="en-GB"/>
        </w:rPr>
        <w:t>’s</w:t>
      </w:r>
      <w:r>
        <w:rPr>
          <w:lang w:eastAsia="en-GB"/>
        </w:rPr>
        <w:t xml:space="preserve"> </w:t>
      </w:r>
      <w:r w:rsidR="001576EA">
        <w:rPr>
          <w:lang w:eastAsia="en-GB"/>
        </w:rPr>
        <w:t>“</w:t>
      </w:r>
      <w:r w:rsidRPr="00856AF2">
        <w:rPr>
          <w:lang w:eastAsia="en-GB"/>
        </w:rPr>
        <w:t>Cast Lead</w:t>
      </w:r>
      <w:r w:rsidR="00B81A43">
        <w:rPr>
          <w:lang w:eastAsia="en-GB"/>
        </w:rPr>
        <w:t>”</w:t>
      </w:r>
      <w:r w:rsidRPr="00856AF2">
        <w:rPr>
          <w:lang w:eastAsia="en-GB"/>
        </w:rPr>
        <w:t xml:space="preserve"> </w:t>
      </w:r>
      <w:r w:rsidR="007E51F4" w:rsidRPr="00856AF2">
        <w:rPr>
          <w:lang w:eastAsia="en-GB"/>
        </w:rPr>
        <w:t xml:space="preserve">operation </w:t>
      </w:r>
      <w:r w:rsidRPr="00856AF2">
        <w:rPr>
          <w:lang w:eastAsia="en-GB"/>
        </w:rPr>
        <w:t xml:space="preserve">in </w:t>
      </w:r>
      <w:smartTag w:uri="urn:schemas-microsoft-com:office:smarttags" w:element="City">
        <w:smartTag w:uri="urn:schemas-microsoft-com:office:smarttags" w:element="place">
          <w:r w:rsidRPr="00856AF2">
            <w:rPr>
              <w:lang w:eastAsia="en-GB"/>
            </w:rPr>
            <w:t>Gaza</w:t>
          </w:r>
        </w:smartTag>
      </w:smartTag>
      <w:r w:rsidRPr="00856AF2">
        <w:rPr>
          <w:lang w:eastAsia="en-GB"/>
        </w:rPr>
        <w:t xml:space="preserve">, of the 344 children </w:t>
      </w:r>
      <w:r>
        <w:rPr>
          <w:lang w:eastAsia="en-GB"/>
        </w:rPr>
        <w:t>reportedly killed</w:t>
      </w:r>
      <w:r w:rsidRPr="00856AF2">
        <w:rPr>
          <w:lang w:eastAsia="en-GB"/>
        </w:rPr>
        <w:t xml:space="preserve">, 318 did not take part in hostilities. During the same operation, of the 110 Palestinian women recorded as killed, two were police officers and the remaining 108 did not take part in the hostilities. </w:t>
      </w:r>
      <w:r>
        <w:rPr>
          <w:lang w:eastAsia="en-GB"/>
        </w:rPr>
        <w:t>During o</w:t>
      </w:r>
      <w:r w:rsidRPr="00856AF2">
        <w:rPr>
          <w:lang w:eastAsia="en-GB"/>
        </w:rPr>
        <w:t xml:space="preserve">peration </w:t>
      </w:r>
      <w:r w:rsidR="00B81A43">
        <w:rPr>
          <w:lang w:eastAsia="en-GB"/>
        </w:rPr>
        <w:t>“</w:t>
      </w:r>
      <w:r w:rsidRPr="00856AF2">
        <w:rPr>
          <w:lang w:eastAsia="en-GB"/>
        </w:rPr>
        <w:t>Pillar of Defence</w:t>
      </w:r>
      <w:r w:rsidR="00B81A43">
        <w:rPr>
          <w:lang w:eastAsia="en-GB"/>
        </w:rPr>
        <w:t>”</w:t>
      </w:r>
      <w:r w:rsidRPr="00856AF2">
        <w:rPr>
          <w:lang w:eastAsia="en-GB"/>
        </w:rPr>
        <w:t>, approximately 100 Palestinian civilians</w:t>
      </w:r>
      <w:r w:rsidR="00BD17CF">
        <w:rPr>
          <w:lang w:eastAsia="en-GB"/>
        </w:rPr>
        <w:t xml:space="preserve">, </w:t>
      </w:r>
      <w:r w:rsidR="00BD17CF" w:rsidRPr="00856AF2">
        <w:rPr>
          <w:lang w:eastAsia="en-GB"/>
        </w:rPr>
        <w:t>a third of whom were children</w:t>
      </w:r>
      <w:r w:rsidR="00BD17CF">
        <w:rPr>
          <w:lang w:eastAsia="en-GB"/>
        </w:rPr>
        <w:t>,</w:t>
      </w:r>
      <w:r w:rsidRPr="00856AF2">
        <w:rPr>
          <w:lang w:eastAsia="en-GB"/>
        </w:rPr>
        <w:t xml:space="preserve"> were</w:t>
      </w:r>
      <w:r>
        <w:rPr>
          <w:lang w:eastAsia="en-GB"/>
        </w:rPr>
        <w:t xml:space="preserve"> reportedly</w:t>
      </w:r>
      <w:r w:rsidRPr="00856AF2">
        <w:rPr>
          <w:lang w:eastAsia="en-GB"/>
        </w:rPr>
        <w:t xml:space="preserve"> killed as a result </w:t>
      </w:r>
      <w:r>
        <w:rPr>
          <w:lang w:eastAsia="en-GB"/>
        </w:rPr>
        <w:t>of ISF actions</w:t>
      </w:r>
      <w:r w:rsidR="00BD17CF">
        <w:rPr>
          <w:lang w:eastAsia="en-GB"/>
        </w:rPr>
        <w:t xml:space="preserve"> (</w:t>
      </w:r>
      <w:r w:rsidR="00BD17CF" w:rsidRPr="00F753F9">
        <w:t>A/HRC/22/35/Add.1</w:t>
      </w:r>
      <w:r w:rsidR="00BD17CF">
        <w:t>, para. 6)</w:t>
      </w:r>
      <w:r w:rsidRPr="00856AF2">
        <w:rPr>
          <w:lang w:eastAsia="en-GB"/>
        </w:rPr>
        <w:t>.</w:t>
      </w:r>
    </w:p>
    <w:p w:rsidR="00C05D53" w:rsidRPr="00856AF2" w:rsidRDefault="00C05D53" w:rsidP="00B81A43">
      <w:pPr>
        <w:pStyle w:val="SingleTxtG"/>
        <w:numPr>
          <w:ilvl w:val="0"/>
          <w:numId w:val="10"/>
        </w:numPr>
        <w:ind w:left="1134" w:firstLine="0"/>
        <w:rPr>
          <w:lang w:eastAsia="en-GB"/>
        </w:rPr>
      </w:pPr>
      <w:r w:rsidRPr="00856AF2">
        <w:rPr>
          <w:lang w:eastAsia="en-GB"/>
        </w:rPr>
        <w:t>Additional deaths were caused by</w:t>
      </w:r>
      <w:r w:rsidR="00BD17CF">
        <w:rPr>
          <w:lang w:eastAsia="en-GB"/>
        </w:rPr>
        <w:t xml:space="preserve"> the</w:t>
      </w:r>
      <w:r w:rsidRPr="00856AF2">
        <w:rPr>
          <w:lang w:eastAsia="en-GB"/>
        </w:rPr>
        <w:t xml:space="preserve"> ISF policy of targeted killing</w:t>
      </w:r>
      <w:r w:rsidR="00BD17CF">
        <w:rPr>
          <w:lang w:eastAsia="en-GB"/>
        </w:rPr>
        <w:t>,</w:t>
      </w:r>
      <w:r w:rsidRPr="00856AF2">
        <w:rPr>
          <w:lang w:eastAsia="en-GB"/>
        </w:rPr>
        <w:t xml:space="preserve"> which resulted in the killing of </w:t>
      </w:r>
      <w:r w:rsidR="00162168">
        <w:rPr>
          <w:lang w:eastAsia="en-GB"/>
        </w:rPr>
        <w:t>369</w:t>
      </w:r>
      <w:r w:rsidR="007E51F4" w:rsidRPr="00856AF2">
        <w:rPr>
          <w:lang w:eastAsia="en-GB"/>
        </w:rPr>
        <w:t xml:space="preserve"> </w:t>
      </w:r>
      <w:r w:rsidRPr="00856AF2">
        <w:rPr>
          <w:lang w:eastAsia="en-GB"/>
        </w:rPr>
        <w:t>Palestinians</w:t>
      </w:r>
      <w:r w:rsidR="00162168">
        <w:rPr>
          <w:lang w:eastAsia="en-GB"/>
        </w:rPr>
        <w:t xml:space="preserve"> during the period September 2000</w:t>
      </w:r>
      <w:r w:rsidR="00A66F7C">
        <w:rPr>
          <w:lang w:eastAsia="en-GB"/>
        </w:rPr>
        <w:t>–</w:t>
      </w:r>
      <w:r w:rsidR="00162168">
        <w:rPr>
          <w:lang w:eastAsia="en-GB"/>
        </w:rPr>
        <w:t>December 2013.</w:t>
      </w:r>
      <w:r w:rsidRPr="00856AF2">
        <w:rPr>
          <w:lang w:eastAsia="en-GB"/>
        </w:rPr>
        <w:t xml:space="preserve"> Moreover, on average, for every person killed as a target of ISF, one or two other persons have been killed </w:t>
      </w:r>
      <w:r>
        <w:rPr>
          <w:lang w:eastAsia="en-GB"/>
        </w:rPr>
        <w:t>in</w:t>
      </w:r>
      <w:r w:rsidRPr="00856AF2">
        <w:rPr>
          <w:lang w:eastAsia="en-GB"/>
        </w:rPr>
        <w:t xml:space="preserve"> </w:t>
      </w:r>
      <w:r>
        <w:rPr>
          <w:lang w:eastAsia="en-GB"/>
        </w:rPr>
        <w:t>any given</w:t>
      </w:r>
      <w:r w:rsidRPr="00856AF2">
        <w:rPr>
          <w:lang w:eastAsia="en-GB"/>
        </w:rPr>
        <w:t xml:space="preserve"> operation. Thus, during the </w:t>
      </w:r>
      <w:r>
        <w:rPr>
          <w:lang w:eastAsia="en-GB"/>
        </w:rPr>
        <w:t xml:space="preserve">same </w:t>
      </w:r>
      <w:r w:rsidRPr="00856AF2">
        <w:rPr>
          <w:lang w:eastAsia="en-GB"/>
        </w:rPr>
        <w:t xml:space="preserve">period, </w:t>
      </w:r>
      <w:r w:rsidR="00162168">
        <w:rPr>
          <w:lang w:eastAsia="en-GB"/>
        </w:rPr>
        <w:t>453</w:t>
      </w:r>
      <w:r w:rsidR="007E51F4" w:rsidRPr="00856AF2">
        <w:rPr>
          <w:lang w:eastAsia="en-GB"/>
        </w:rPr>
        <w:t xml:space="preserve"> </w:t>
      </w:r>
      <w:r w:rsidRPr="00856AF2">
        <w:rPr>
          <w:lang w:eastAsia="en-GB"/>
        </w:rPr>
        <w:t>Palestinians who were not targets were also killed</w:t>
      </w:r>
      <w:r w:rsidR="00B81A43">
        <w:rPr>
          <w:lang w:eastAsia="en-GB"/>
        </w:rPr>
        <w:t>.</w:t>
      </w:r>
      <w:r w:rsidRPr="009C6E82">
        <w:rPr>
          <w:sz w:val="18"/>
          <w:vertAlign w:val="superscript"/>
          <w:lang w:eastAsia="en-GB"/>
        </w:rPr>
        <w:footnoteReference w:id="66"/>
      </w:r>
    </w:p>
    <w:p w:rsidR="00C05D53" w:rsidRPr="00856AF2" w:rsidRDefault="00C05D53" w:rsidP="00B81A43">
      <w:pPr>
        <w:pStyle w:val="SingleTxtG"/>
        <w:numPr>
          <w:ilvl w:val="0"/>
          <w:numId w:val="10"/>
        </w:numPr>
        <w:ind w:left="1134" w:firstLine="0"/>
        <w:rPr>
          <w:lang w:eastAsia="en-GB"/>
        </w:rPr>
      </w:pPr>
      <w:r w:rsidRPr="00856AF2">
        <w:rPr>
          <w:lang w:eastAsia="en-GB"/>
        </w:rPr>
        <w:t xml:space="preserve">Individual accounts by former </w:t>
      </w:r>
      <w:r w:rsidR="00342ADA">
        <w:rPr>
          <w:lang w:eastAsia="en-GB"/>
        </w:rPr>
        <w:t xml:space="preserve">soldiers of the </w:t>
      </w:r>
      <w:r w:rsidRPr="00856AF2">
        <w:rPr>
          <w:lang w:eastAsia="en-GB"/>
        </w:rPr>
        <w:t>Israel Defen</w:t>
      </w:r>
      <w:r w:rsidR="00BD17CF">
        <w:rPr>
          <w:lang w:eastAsia="en-GB"/>
        </w:rPr>
        <w:t>s</w:t>
      </w:r>
      <w:r w:rsidRPr="00856AF2">
        <w:rPr>
          <w:lang w:eastAsia="en-GB"/>
        </w:rPr>
        <w:t>e Force</w:t>
      </w:r>
      <w:r w:rsidR="00342ADA">
        <w:rPr>
          <w:lang w:eastAsia="en-GB"/>
        </w:rPr>
        <w:t>s</w:t>
      </w:r>
      <w:r w:rsidRPr="00856AF2">
        <w:rPr>
          <w:lang w:eastAsia="en-GB"/>
        </w:rPr>
        <w:t xml:space="preserve"> (IDF), published by the Israeli NGO Breaking the Silence, bear witness to Israeli policy in respect to the occupied people: </w:t>
      </w:r>
      <w:r>
        <w:rPr>
          <w:lang w:eastAsia="en-GB"/>
        </w:rPr>
        <w:t>“</w:t>
      </w:r>
      <w:r w:rsidR="00342ADA">
        <w:rPr>
          <w:lang w:eastAsia="en-GB"/>
        </w:rPr>
        <w:t> ‘</w:t>
      </w:r>
      <w:r w:rsidRPr="009C6E82">
        <w:rPr>
          <w:lang w:eastAsia="en-GB"/>
        </w:rPr>
        <w:t>Prevention of terror</w:t>
      </w:r>
      <w:r w:rsidR="00342ADA">
        <w:rPr>
          <w:lang w:eastAsia="en-GB"/>
        </w:rPr>
        <w:t>’</w:t>
      </w:r>
      <w:r w:rsidRPr="009C6E82">
        <w:rPr>
          <w:lang w:eastAsia="en-GB"/>
        </w:rPr>
        <w:t xml:space="preserve"> is the stamp of approval granted to any offensive IDF action in the Territories, obscuring the distinction between the use of force against terrorists and the use of force against civilians. In this way, the IDF is able to justify actions that intimidate and oppress the Palestinian population overall.</w:t>
      </w:r>
      <w:r w:rsidR="00B81A43" w:rsidRPr="007E626D">
        <w:rPr>
          <w:lang w:eastAsia="en-GB"/>
        </w:rPr>
        <w:t>”</w:t>
      </w:r>
      <w:r w:rsidRPr="009C6E82">
        <w:rPr>
          <w:sz w:val="18"/>
          <w:vertAlign w:val="superscript"/>
          <w:lang w:eastAsia="en-GB"/>
        </w:rPr>
        <w:footnoteReference w:id="67"/>
      </w:r>
    </w:p>
    <w:p w:rsidR="00C05D53" w:rsidRPr="00856AF2" w:rsidRDefault="00C05D53" w:rsidP="00CE0C88">
      <w:pPr>
        <w:pStyle w:val="SingleTxtG"/>
        <w:numPr>
          <w:ilvl w:val="0"/>
          <w:numId w:val="10"/>
        </w:numPr>
        <w:ind w:left="1134" w:firstLine="0"/>
        <w:rPr>
          <w:lang w:eastAsia="en-GB"/>
        </w:rPr>
      </w:pPr>
      <w:r w:rsidRPr="00856AF2">
        <w:rPr>
          <w:lang w:eastAsia="en-GB"/>
        </w:rPr>
        <w:t>Under a simple interpretation</w:t>
      </w:r>
      <w:r w:rsidR="002B255B">
        <w:rPr>
          <w:lang w:eastAsia="en-GB"/>
        </w:rPr>
        <w:t>,</w:t>
      </w:r>
      <w:r w:rsidRPr="00856AF2">
        <w:rPr>
          <w:lang w:eastAsia="en-GB"/>
        </w:rPr>
        <w:t xml:space="preserve"> the term murder, as referred to in the </w:t>
      </w:r>
      <w:r w:rsidR="002B255B" w:rsidRPr="00856AF2">
        <w:rPr>
          <w:lang w:eastAsia="en-GB"/>
        </w:rPr>
        <w:t>International Convention on the Suppression and Punishment of the Crime of Apartheid</w:t>
      </w:r>
      <w:r w:rsidRPr="00856AF2">
        <w:rPr>
          <w:lang w:eastAsia="en-GB"/>
        </w:rPr>
        <w:t xml:space="preserve">, signifies the unlawful taking of life. Therefore, the taking of lives </w:t>
      </w:r>
      <w:r w:rsidR="002B255B">
        <w:rPr>
          <w:lang w:eastAsia="en-GB"/>
        </w:rPr>
        <w:t>—</w:t>
      </w:r>
      <w:r w:rsidRPr="00856AF2">
        <w:rPr>
          <w:lang w:eastAsia="en-GB"/>
        </w:rPr>
        <w:t xml:space="preserve"> outside the limited circumstances in which </w:t>
      </w:r>
      <w:r w:rsidR="00BB5817">
        <w:rPr>
          <w:lang w:eastAsia="en-GB"/>
        </w:rPr>
        <w:t>international humanitarian law</w:t>
      </w:r>
      <w:r w:rsidRPr="00856AF2">
        <w:rPr>
          <w:lang w:eastAsia="en-GB"/>
        </w:rPr>
        <w:t xml:space="preserve"> and international human rights law do not absolutely prohibit this </w:t>
      </w:r>
      <w:r w:rsidR="002B255B">
        <w:rPr>
          <w:lang w:eastAsia="en-GB"/>
        </w:rPr>
        <w:t>—</w:t>
      </w:r>
      <w:r w:rsidRPr="00856AF2">
        <w:rPr>
          <w:lang w:eastAsia="en-GB"/>
        </w:rPr>
        <w:t xml:space="preserve"> </w:t>
      </w:r>
      <w:r>
        <w:rPr>
          <w:lang w:eastAsia="en-GB"/>
        </w:rPr>
        <w:t xml:space="preserve">potentially </w:t>
      </w:r>
      <w:r w:rsidRPr="00856AF2">
        <w:rPr>
          <w:lang w:eastAsia="en-GB"/>
        </w:rPr>
        <w:t>constitutes an element of apartheid</w:t>
      </w:r>
      <w:r>
        <w:rPr>
          <w:lang w:eastAsia="en-GB"/>
        </w:rPr>
        <w:t xml:space="preserve">, in the context of </w:t>
      </w:r>
      <w:r w:rsidRPr="00856AF2">
        <w:rPr>
          <w:lang w:eastAsia="en-GB"/>
        </w:rPr>
        <w:t xml:space="preserve">a systematic and institutional regime in which these unlawful killings form part of acts </w:t>
      </w:r>
      <w:r w:rsidRPr="00856AF2">
        <w:rPr>
          <w:lang w:eastAsia="en-GB"/>
        </w:rPr>
        <w:lastRenderedPageBreak/>
        <w:t xml:space="preserve">carried out in order to maintain dominance over Palestinians. </w:t>
      </w:r>
      <w:r>
        <w:rPr>
          <w:lang w:eastAsia="en-GB"/>
        </w:rPr>
        <w:t xml:space="preserve">The relatively high proportion of civilian casualties caused by ISF in occupied </w:t>
      </w:r>
      <w:smartTag w:uri="urn:schemas-microsoft-com:office:smarttags" w:element="place">
        <w:smartTag w:uri="urn:schemas-microsoft-com:office:smarttags" w:element="City">
          <w:r>
            <w:rPr>
              <w:lang w:eastAsia="en-GB"/>
            </w:rPr>
            <w:t>Palestine</w:t>
          </w:r>
        </w:smartTag>
      </w:smartTag>
      <w:r>
        <w:rPr>
          <w:lang w:eastAsia="en-GB"/>
        </w:rPr>
        <w:t xml:space="preserve"> is notable in this respect. </w:t>
      </w:r>
    </w:p>
    <w:p w:rsidR="00C05D53" w:rsidRPr="00856AF2" w:rsidRDefault="00C05D53" w:rsidP="00C05D53">
      <w:pPr>
        <w:pStyle w:val="SingleTxtG"/>
        <w:numPr>
          <w:ilvl w:val="0"/>
          <w:numId w:val="10"/>
        </w:numPr>
        <w:ind w:left="1134" w:firstLine="0"/>
        <w:rPr>
          <w:lang w:eastAsia="en-GB"/>
        </w:rPr>
      </w:pPr>
      <w:r>
        <w:rPr>
          <w:lang w:eastAsia="en-GB"/>
        </w:rPr>
        <w:t xml:space="preserve">In regard </w:t>
      </w:r>
      <w:r w:rsidRPr="00856AF2">
        <w:rPr>
          <w:lang w:eastAsia="en-GB"/>
        </w:rPr>
        <w:t>to article</w:t>
      </w:r>
      <w:r w:rsidR="00B81A43">
        <w:rPr>
          <w:lang w:eastAsia="en-GB"/>
        </w:rPr>
        <w:t> </w:t>
      </w:r>
      <w:r w:rsidRPr="00856AF2">
        <w:rPr>
          <w:lang w:eastAsia="en-GB"/>
        </w:rPr>
        <w:t>2(a)(ii) and (iii), detention by Israel of Palestinians is closely linked to the occurrence of torture and ill-treatment. According to the Prisoner Support and Human Rights Association, Addameer, in September 2013, there were some 5,000 Palestinian political prisoners, including 137 administrative detainees.</w:t>
      </w:r>
      <w:r w:rsidRPr="009C6E82">
        <w:rPr>
          <w:sz w:val="18"/>
          <w:vertAlign w:val="superscript"/>
          <w:lang w:eastAsia="en-GB"/>
        </w:rPr>
        <w:footnoteReference w:id="68"/>
      </w:r>
      <w:r w:rsidRPr="009C6E82">
        <w:rPr>
          <w:sz w:val="18"/>
          <w:vertAlign w:val="superscript"/>
          <w:lang w:eastAsia="en-GB"/>
        </w:rPr>
        <w:t xml:space="preserve"> </w:t>
      </w:r>
      <w:r w:rsidRPr="00856AF2">
        <w:rPr>
          <w:lang w:eastAsia="en-GB"/>
        </w:rPr>
        <w:t>M</w:t>
      </w:r>
      <w:r>
        <w:rPr>
          <w:lang w:eastAsia="en-GB"/>
        </w:rPr>
        <w:t>any</w:t>
      </w:r>
      <w:r w:rsidRPr="00856AF2">
        <w:rPr>
          <w:lang w:eastAsia="en-GB"/>
        </w:rPr>
        <w:t xml:space="preserve"> detainees are transferred to prisons in </w:t>
      </w:r>
      <w:smartTag w:uri="urn:schemas-microsoft-com:office:smarttags" w:element="place">
        <w:smartTag w:uri="urn:schemas-microsoft-com:office:smarttags" w:element="country-region">
          <w:r w:rsidRPr="00856AF2">
            <w:rPr>
              <w:lang w:eastAsia="en-GB"/>
            </w:rPr>
            <w:t>Israel</w:t>
          </w:r>
        </w:smartTag>
      </w:smartTag>
      <w:r w:rsidRPr="00856AF2">
        <w:rPr>
          <w:lang w:eastAsia="en-GB"/>
        </w:rPr>
        <w:t xml:space="preserve">, </w:t>
      </w:r>
      <w:r>
        <w:rPr>
          <w:lang w:eastAsia="en-GB"/>
        </w:rPr>
        <w:t>in violation of the Fourth Geneva Convention (art.</w:t>
      </w:r>
      <w:r w:rsidR="00B81A43">
        <w:rPr>
          <w:lang w:eastAsia="en-GB"/>
        </w:rPr>
        <w:t> </w:t>
      </w:r>
      <w:r w:rsidRPr="00856AF2">
        <w:rPr>
          <w:lang w:eastAsia="en-GB"/>
        </w:rPr>
        <w:t>76</w:t>
      </w:r>
      <w:r>
        <w:rPr>
          <w:lang w:eastAsia="en-GB"/>
        </w:rPr>
        <w:t>)</w:t>
      </w:r>
      <w:r w:rsidRPr="00856AF2">
        <w:rPr>
          <w:lang w:eastAsia="en-GB"/>
        </w:rPr>
        <w:t>.</w:t>
      </w:r>
      <w:r w:rsidRPr="009C6E82">
        <w:rPr>
          <w:sz w:val="18"/>
          <w:vertAlign w:val="superscript"/>
          <w:lang w:eastAsia="en-GB"/>
        </w:rPr>
        <w:footnoteReference w:id="69"/>
      </w:r>
      <w:r w:rsidRPr="00856AF2">
        <w:rPr>
          <w:lang w:eastAsia="en-GB"/>
        </w:rPr>
        <w:t xml:space="preserve"> </w:t>
      </w:r>
    </w:p>
    <w:p w:rsidR="00C05D53" w:rsidRPr="00856AF2" w:rsidRDefault="00C05D53" w:rsidP="00C05D53">
      <w:pPr>
        <w:pStyle w:val="SingleTxtG"/>
        <w:numPr>
          <w:ilvl w:val="0"/>
          <w:numId w:val="10"/>
        </w:numPr>
        <w:ind w:left="1134" w:firstLine="0"/>
        <w:rPr>
          <w:lang w:eastAsia="en-GB"/>
        </w:rPr>
      </w:pPr>
      <w:r w:rsidRPr="00856AF2">
        <w:rPr>
          <w:lang w:eastAsia="en-GB"/>
        </w:rPr>
        <w:t xml:space="preserve">In 2012, the Committee </w:t>
      </w:r>
      <w:r w:rsidR="00A935C9">
        <w:rPr>
          <w:lang w:eastAsia="en-GB"/>
        </w:rPr>
        <w:t xml:space="preserve">on the Elimination of Racial Discrimination </w:t>
      </w:r>
      <w:r w:rsidRPr="00856AF2">
        <w:rPr>
          <w:lang w:eastAsia="en-GB"/>
        </w:rPr>
        <w:t xml:space="preserve">urged </w:t>
      </w:r>
      <w:smartTag w:uri="urn:schemas-microsoft-com:office:smarttags" w:element="country-region">
        <w:smartTag w:uri="urn:schemas-microsoft-com:office:smarttags" w:element="place">
          <w:r w:rsidRPr="00856AF2">
            <w:rPr>
              <w:lang w:eastAsia="en-GB"/>
            </w:rPr>
            <w:t>Israel</w:t>
          </w:r>
        </w:smartTag>
      </w:smartTag>
      <w:r w:rsidRPr="00856AF2">
        <w:rPr>
          <w:lang w:eastAsia="en-GB"/>
        </w:rPr>
        <w:t xml:space="preserve"> to end administrative detention, which is discriminatory and constitutes arbitrary detention under international human rights law</w:t>
      </w:r>
      <w:r w:rsidR="00A935C9">
        <w:rPr>
          <w:lang w:eastAsia="en-GB"/>
        </w:rPr>
        <w:t xml:space="preserve"> (</w:t>
      </w:r>
      <w:r w:rsidR="00A935C9" w:rsidRPr="00F753F9">
        <w:t>CERD/C/ISR/CO/14-16</w:t>
      </w:r>
      <w:r w:rsidR="00A935C9">
        <w:t>, para. 27)</w:t>
      </w:r>
      <w:r w:rsidRPr="00856AF2">
        <w:rPr>
          <w:lang w:eastAsia="en-GB"/>
        </w:rPr>
        <w:t>.</w:t>
      </w:r>
      <w:r w:rsidR="00F624E9">
        <w:rPr>
          <w:lang w:eastAsia="en-GB"/>
        </w:rPr>
        <w:t xml:space="preserve"> </w:t>
      </w:r>
      <w:r w:rsidRPr="00856AF2">
        <w:rPr>
          <w:lang w:eastAsia="en-GB"/>
        </w:rPr>
        <w:t xml:space="preserve">Similar recommendations were made by a number of States during the most recent </w:t>
      </w:r>
      <w:r w:rsidR="00F624E9">
        <w:rPr>
          <w:lang w:eastAsia="en-GB"/>
        </w:rPr>
        <w:t>u</w:t>
      </w:r>
      <w:r w:rsidRPr="00856AF2">
        <w:rPr>
          <w:lang w:eastAsia="en-GB"/>
        </w:rPr>
        <w:t xml:space="preserve">niversal </w:t>
      </w:r>
      <w:r w:rsidR="00F624E9">
        <w:rPr>
          <w:lang w:eastAsia="en-GB"/>
        </w:rPr>
        <w:t>p</w:t>
      </w:r>
      <w:r w:rsidRPr="00856AF2">
        <w:rPr>
          <w:lang w:eastAsia="en-GB"/>
        </w:rPr>
        <w:t xml:space="preserve">eriodic </w:t>
      </w:r>
      <w:r w:rsidR="00F624E9">
        <w:rPr>
          <w:lang w:eastAsia="en-GB"/>
        </w:rPr>
        <w:t>r</w:t>
      </w:r>
      <w:r w:rsidRPr="00856AF2">
        <w:rPr>
          <w:lang w:eastAsia="en-GB"/>
        </w:rPr>
        <w:t xml:space="preserve">eview of </w:t>
      </w:r>
      <w:smartTag w:uri="urn:schemas-microsoft-com:office:smarttags" w:element="country-region">
        <w:smartTag w:uri="urn:schemas-microsoft-com:office:smarttags" w:element="place">
          <w:r w:rsidRPr="00856AF2">
            <w:rPr>
              <w:lang w:eastAsia="en-GB"/>
            </w:rPr>
            <w:t>Israel</w:t>
          </w:r>
        </w:smartTag>
      </w:smartTag>
      <w:r w:rsidR="00C8682C">
        <w:rPr>
          <w:lang w:eastAsia="en-GB"/>
        </w:rPr>
        <w:t xml:space="preserve"> (A/HRC/25/15)</w:t>
      </w:r>
      <w:r w:rsidRPr="00856AF2">
        <w:rPr>
          <w:lang w:eastAsia="en-GB"/>
        </w:rPr>
        <w:t xml:space="preserve">. The Committee further recommended that </w:t>
      </w:r>
      <w:smartTag w:uri="urn:schemas-microsoft-com:office:smarttags" w:element="country-region">
        <w:r w:rsidRPr="00856AF2">
          <w:rPr>
            <w:lang w:eastAsia="en-GB"/>
          </w:rPr>
          <w:t>Israel</w:t>
        </w:r>
      </w:smartTag>
      <w:r w:rsidRPr="00856AF2">
        <w:rPr>
          <w:lang w:eastAsia="en-GB"/>
        </w:rPr>
        <w:t xml:space="preserve"> ensure equal access to justice for all persons living in territories under its effective control, noting that Jewish settlers in occupied </w:t>
      </w:r>
      <w:smartTag w:uri="urn:schemas-microsoft-com:office:smarttags" w:element="City">
        <w:r w:rsidRPr="00856AF2">
          <w:rPr>
            <w:lang w:eastAsia="en-GB"/>
          </w:rPr>
          <w:t>Palestine</w:t>
        </w:r>
      </w:smartTag>
      <w:r w:rsidRPr="00856AF2">
        <w:rPr>
          <w:lang w:eastAsia="en-GB"/>
        </w:rPr>
        <w:t xml:space="preserve"> are subject to a civil law regime, while a military regime applies to Palestinians in the West Bank, including </w:t>
      </w:r>
      <w:smartTag w:uri="urn:schemas-microsoft-com:office:smarttags" w:element="place">
        <w:r w:rsidRPr="00856AF2">
          <w:rPr>
            <w:lang w:eastAsia="en-GB"/>
          </w:rPr>
          <w:t>East Jerusalem</w:t>
        </w:r>
      </w:smartTag>
      <w:r w:rsidRPr="00856AF2">
        <w:rPr>
          <w:lang w:eastAsia="en-GB"/>
        </w:rPr>
        <w:t xml:space="preserve">. </w:t>
      </w:r>
    </w:p>
    <w:p w:rsidR="00C05D53" w:rsidRPr="00856AF2" w:rsidRDefault="00C05D53" w:rsidP="004D7C42">
      <w:pPr>
        <w:pStyle w:val="SingleTxtG"/>
        <w:numPr>
          <w:ilvl w:val="0"/>
          <w:numId w:val="10"/>
        </w:numPr>
        <w:ind w:left="1134" w:firstLine="0"/>
        <w:rPr>
          <w:lang w:eastAsia="en-GB"/>
        </w:rPr>
      </w:pPr>
      <w:r w:rsidRPr="00856AF2">
        <w:rPr>
          <w:lang w:eastAsia="en-GB"/>
        </w:rPr>
        <w:t>Despite the absolute prohibition of torture</w:t>
      </w:r>
      <w:r w:rsidR="004D7C42">
        <w:rPr>
          <w:lang w:eastAsia="en-GB"/>
        </w:rPr>
        <w:t>,</w:t>
      </w:r>
      <w:r w:rsidRPr="009C6E82">
        <w:rPr>
          <w:sz w:val="18"/>
          <w:vertAlign w:val="superscript"/>
          <w:lang w:eastAsia="en-GB"/>
        </w:rPr>
        <w:footnoteReference w:id="70"/>
      </w:r>
      <w:r w:rsidRPr="00856AF2">
        <w:rPr>
          <w:lang w:eastAsia="en-GB"/>
        </w:rPr>
        <w:t xml:space="preserve"> Palestinians detained by </w:t>
      </w:r>
      <w:smartTag w:uri="urn:schemas-microsoft-com:office:smarttags" w:element="country-region">
        <w:smartTag w:uri="urn:schemas-microsoft-com:office:smarttags" w:element="place">
          <w:r w:rsidRPr="00856AF2">
            <w:rPr>
              <w:lang w:eastAsia="en-GB"/>
            </w:rPr>
            <w:t>Israel</w:t>
          </w:r>
        </w:smartTag>
      </w:smartTag>
      <w:r w:rsidRPr="00856AF2">
        <w:rPr>
          <w:lang w:eastAsia="en-GB"/>
        </w:rPr>
        <w:t xml:space="preserve"> continue to be subjected to torture and ill-treatment</w:t>
      </w:r>
      <w:r w:rsidR="00C8682C">
        <w:rPr>
          <w:lang w:eastAsia="en-GB"/>
        </w:rPr>
        <w:t xml:space="preserve"> (</w:t>
      </w:r>
      <w:r w:rsidR="00C8682C">
        <w:t>A/68/379)</w:t>
      </w:r>
      <w:r w:rsidR="004D7C42">
        <w:rPr>
          <w:lang w:eastAsia="en-GB"/>
        </w:rPr>
        <w:t>.</w:t>
      </w:r>
      <w:r w:rsidRPr="009C6E82">
        <w:rPr>
          <w:sz w:val="18"/>
          <w:vertAlign w:val="superscript"/>
          <w:lang w:eastAsia="en-GB"/>
        </w:rPr>
        <w:footnoteReference w:id="71"/>
      </w:r>
      <w:r w:rsidRPr="00856AF2">
        <w:rPr>
          <w:lang w:eastAsia="en-GB"/>
        </w:rPr>
        <w:t xml:space="preserve"> Methods of torture and ill-treatment reportedly include: sleep deprivation; excessive use of handcuffs; beatings; verbal abuse; </w:t>
      </w:r>
      <w:r>
        <w:rPr>
          <w:lang w:eastAsia="en-GB"/>
        </w:rPr>
        <w:t xml:space="preserve">stress positions; solitary confinement; </w:t>
      </w:r>
      <w:r w:rsidRPr="00856AF2">
        <w:rPr>
          <w:lang w:eastAsia="en-GB"/>
        </w:rPr>
        <w:t>humiliation</w:t>
      </w:r>
      <w:r w:rsidR="009B7F67">
        <w:rPr>
          <w:lang w:eastAsia="en-GB"/>
        </w:rPr>
        <w:t>;</w:t>
      </w:r>
      <w:r w:rsidRPr="00856AF2">
        <w:rPr>
          <w:lang w:eastAsia="en-GB"/>
        </w:rPr>
        <w:t xml:space="preserve"> and threats of killing, sexual assault and house demolitions, against the detainee or his or her family</w:t>
      </w:r>
      <w:r w:rsidR="004D7C42">
        <w:rPr>
          <w:lang w:eastAsia="en-GB"/>
        </w:rPr>
        <w:t>.</w:t>
      </w:r>
      <w:r w:rsidRPr="009C6E82">
        <w:rPr>
          <w:sz w:val="18"/>
          <w:vertAlign w:val="superscript"/>
          <w:lang w:eastAsia="en-GB"/>
        </w:rPr>
        <w:footnoteReference w:id="72"/>
      </w:r>
      <w:r w:rsidRPr="00856AF2">
        <w:rPr>
          <w:lang w:eastAsia="en-GB"/>
        </w:rPr>
        <w:t xml:space="preserve"> </w:t>
      </w:r>
    </w:p>
    <w:p w:rsidR="00360FE6" w:rsidRDefault="00C05D53" w:rsidP="00360FE6">
      <w:pPr>
        <w:pStyle w:val="SingleTxtG"/>
        <w:numPr>
          <w:ilvl w:val="0"/>
          <w:numId w:val="10"/>
        </w:numPr>
        <w:ind w:left="1134" w:firstLine="0"/>
        <w:rPr>
          <w:lang w:eastAsia="en-GB"/>
        </w:rPr>
      </w:pPr>
      <w:r w:rsidRPr="00856AF2">
        <w:rPr>
          <w:lang w:eastAsia="en-GB"/>
        </w:rPr>
        <w:t>In 1999 the Israeli High Court said that using certain methods of physical pressure for the purpose of “breaking” a detainee are unlawful and that interrogation methods must be fair and reasonable, and respectful of human dignity</w:t>
      </w:r>
      <w:r w:rsidR="00B209FA">
        <w:rPr>
          <w:lang w:eastAsia="en-GB"/>
        </w:rPr>
        <w:t>.</w:t>
      </w:r>
      <w:r w:rsidRPr="006A5D2D">
        <w:rPr>
          <w:sz w:val="18"/>
          <w:vertAlign w:val="superscript"/>
          <w:lang w:eastAsia="en-GB"/>
        </w:rPr>
        <w:footnoteReference w:id="73"/>
      </w:r>
      <w:r w:rsidRPr="00856AF2">
        <w:rPr>
          <w:lang w:eastAsia="en-GB"/>
        </w:rPr>
        <w:t xml:space="preserve"> While </w:t>
      </w:r>
      <w:r>
        <w:rPr>
          <w:lang w:eastAsia="en-GB"/>
        </w:rPr>
        <w:t xml:space="preserve">representing </w:t>
      </w:r>
      <w:r w:rsidRPr="00856AF2">
        <w:rPr>
          <w:lang w:eastAsia="en-GB"/>
        </w:rPr>
        <w:t xml:space="preserve">an important recognition of the illegality of certain methods of torture employed against Palestinian detainees, </w:t>
      </w:r>
      <w:r>
        <w:rPr>
          <w:lang w:eastAsia="en-GB"/>
        </w:rPr>
        <w:t>the decision</w:t>
      </w:r>
      <w:r w:rsidRPr="00856AF2">
        <w:rPr>
          <w:lang w:eastAsia="en-GB"/>
        </w:rPr>
        <w:t xml:space="preserve"> failed to </w:t>
      </w:r>
      <w:r>
        <w:rPr>
          <w:lang w:eastAsia="en-GB"/>
        </w:rPr>
        <w:t>outlaw</w:t>
      </w:r>
      <w:r w:rsidRPr="00856AF2">
        <w:rPr>
          <w:lang w:eastAsia="en-GB"/>
        </w:rPr>
        <w:t xml:space="preserve"> torture</w:t>
      </w:r>
      <w:r>
        <w:rPr>
          <w:lang w:eastAsia="en-GB"/>
        </w:rPr>
        <w:t xml:space="preserve"> by</w:t>
      </w:r>
      <w:r w:rsidRPr="00856AF2">
        <w:rPr>
          <w:lang w:eastAsia="en-GB"/>
        </w:rPr>
        <w:t xml:space="preserve"> allowing the </w:t>
      </w:r>
      <w:r w:rsidR="00B209FA">
        <w:rPr>
          <w:lang w:eastAsia="en-GB"/>
        </w:rPr>
        <w:t>“</w:t>
      </w:r>
      <w:r w:rsidRPr="00856AF2">
        <w:rPr>
          <w:lang w:eastAsia="en-GB"/>
        </w:rPr>
        <w:t>ticking bomb</w:t>
      </w:r>
      <w:r w:rsidR="00B209FA">
        <w:rPr>
          <w:lang w:eastAsia="en-GB"/>
        </w:rPr>
        <w:t>”</w:t>
      </w:r>
      <w:r w:rsidRPr="00856AF2">
        <w:rPr>
          <w:lang w:eastAsia="en-GB"/>
        </w:rPr>
        <w:t xml:space="preserve"> or </w:t>
      </w:r>
      <w:r w:rsidR="00B209FA">
        <w:rPr>
          <w:lang w:eastAsia="en-GB"/>
        </w:rPr>
        <w:t>“</w:t>
      </w:r>
      <w:r w:rsidRPr="00856AF2">
        <w:rPr>
          <w:lang w:eastAsia="en-GB"/>
        </w:rPr>
        <w:t>necessity</w:t>
      </w:r>
      <w:r w:rsidR="00B209FA">
        <w:rPr>
          <w:lang w:eastAsia="en-GB"/>
        </w:rPr>
        <w:t>”</w:t>
      </w:r>
      <w:r w:rsidRPr="00856AF2">
        <w:rPr>
          <w:lang w:eastAsia="en-GB"/>
        </w:rPr>
        <w:t xml:space="preserve"> defence. According to Addameer, </w:t>
      </w:r>
      <w:r w:rsidR="00B209FA">
        <w:rPr>
          <w:lang w:eastAsia="en-GB"/>
        </w:rPr>
        <w:t>“</w:t>
      </w:r>
      <w:r w:rsidRPr="00856AF2">
        <w:rPr>
          <w:lang w:eastAsia="en-GB"/>
        </w:rPr>
        <w:t>necessity</w:t>
      </w:r>
      <w:r w:rsidR="00B209FA">
        <w:rPr>
          <w:lang w:eastAsia="en-GB"/>
        </w:rPr>
        <w:t>”</w:t>
      </w:r>
      <w:r>
        <w:rPr>
          <w:lang w:eastAsia="en-GB"/>
        </w:rPr>
        <w:t xml:space="preserve"> </w:t>
      </w:r>
      <w:r w:rsidRPr="00856AF2">
        <w:rPr>
          <w:lang w:eastAsia="en-GB"/>
        </w:rPr>
        <w:t>is used by interrogators as a blanket defence with little to no accountability</w:t>
      </w:r>
      <w:r w:rsidR="00B209FA">
        <w:rPr>
          <w:lang w:eastAsia="en-GB"/>
        </w:rPr>
        <w:t>.</w:t>
      </w:r>
      <w:r w:rsidRPr="009C6E82">
        <w:rPr>
          <w:sz w:val="18"/>
          <w:vertAlign w:val="superscript"/>
          <w:lang w:eastAsia="en-GB"/>
        </w:rPr>
        <w:footnoteReference w:id="74"/>
      </w:r>
      <w:r w:rsidRPr="00856AF2">
        <w:rPr>
          <w:lang w:eastAsia="en-GB"/>
        </w:rPr>
        <w:t xml:space="preserve"> The Public Committee against Torture in </w:t>
      </w:r>
      <w:smartTag w:uri="urn:schemas-microsoft-com:office:smarttags" w:element="country-region">
        <w:smartTag w:uri="urn:schemas-microsoft-com:office:smarttags" w:element="place">
          <w:r w:rsidRPr="00856AF2">
            <w:rPr>
              <w:lang w:eastAsia="en-GB"/>
            </w:rPr>
            <w:t>Israel</w:t>
          </w:r>
        </w:smartTag>
      </w:smartTag>
      <w:r w:rsidRPr="00856AF2">
        <w:rPr>
          <w:lang w:eastAsia="en-GB"/>
        </w:rPr>
        <w:t xml:space="preserve"> report</w:t>
      </w:r>
      <w:r>
        <w:rPr>
          <w:lang w:eastAsia="en-GB"/>
        </w:rPr>
        <w:t>ed</w:t>
      </w:r>
      <w:r w:rsidRPr="00856AF2">
        <w:rPr>
          <w:lang w:eastAsia="en-GB"/>
        </w:rPr>
        <w:t xml:space="preserve"> that of 701 formal complaints of torture</w:t>
      </w:r>
      <w:r>
        <w:rPr>
          <w:lang w:eastAsia="en-GB"/>
        </w:rPr>
        <w:t xml:space="preserve"> submitted </w:t>
      </w:r>
      <w:r w:rsidR="00900D65">
        <w:rPr>
          <w:lang w:eastAsia="en-GB"/>
        </w:rPr>
        <w:t xml:space="preserve">between </w:t>
      </w:r>
      <w:r>
        <w:rPr>
          <w:lang w:eastAsia="en-GB"/>
        </w:rPr>
        <w:t>2001</w:t>
      </w:r>
      <w:r w:rsidR="00900D65">
        <w:rPr>
          <w:lang w:eastAsia="en-GB"/>
        </w:rPr>
        <w:t xml:space="preserve"> and </w:t>
      </w:r>
      <w:r w:rsidR="00B209FA">
        <w:rPr>
          <w:lang w:eastAsia="en-GB"/>
        </w:rPr>
        <w:t>20</w:t>
      </w:r>
      <w:r>
        <w:rPr>
          <w:lang w:eastAsia="en-GB"/>
        </w:rPr>
        <w:t>10</w:t>
      </w:r>
      <w:r w:rsidRPr="00856AF2">
        <w:rPr>
          <w:lang w:eastAsia="en-GB"/>
        </w:rPr>
        <w:t>, none resulted in a criminal investigation</w:t>
      </w:r>
      <w:r w:rsidR="00B209FA">
        <w:rPr>
          <w:lang w:eastAsia="en-GB"/>
        </w:rPr>
        <w:t>.</w:t>
      </w:r>
      <w:r w:rsidRPr="009C6E82">
        <w:rPr>
          <w:sz w:val="18"/>
          <w:vertAlign w:val="superscript"/>
          <w:lang w:eastAsia="en-GB"/>
        </w:rPr>
        <w:footnoteReference w:id="75"/>
      </w:r>
    </w:p>
    <w:p w:rsidR="00C05D53" w:rsidRDefault="00C05D53" w:rsidP="00360FE6">
      <w:pPr>
        <w:pStyle w:val="SingleTxtG"/>
        <w:numPr>
          <w:ilvl w:val="0"/>
          <w:numId w:val="10"/>
        </w:numPr>
        <w:ind w:left="1134" w:firstLine="0"/>
        <w:rPr>
          <w:lang w:eastAsia="en-GB"/>
        </w:rPr>
      </w:pPr>
      <w:r w:rsidRPr="00856AF2">
        <w:rPr>
          <w:lang w:eastAsia="en-GB"/>
        </w:rPr>
        <w:t>Palestinian children are not exempt. In 2013, UNICEF concluded that “Ill</w:t>
      </w:r>
      <w:r w:rsidR="004D7C42">
        <w:rPr>
          <w:lang w:eastAsia="en-GB"/>
        </w:rPr>
        <w:noBreakHyphen/>
      </w:r>
      <w:r w:rsidRPr="00856AF2">
        <w:rPr>
          <w:lang w:eastAsia="en-GB"/>
        </w:rPr>
        <w:t>treatment</w:t>
      </w:r>
      <w:r w:rsidR="002367D5">
        <w:rPr>
          <w:lang w:eastAsia="en-GB"/>
        </w:rPr>
        <w:t> </w:t>
      </w:r>
      <w:r w:rsidRPr="00856AF2">
        <w:rPr>
          <w:lang w:eastAsia="en-GB"/>
        </w:rPr>
        <w:t>… appears to be widespread, systematic and institutionalized</w:t>
      </w:r>
      <w:r w:rsidR="002367D5">
        <w:rPr>
          <w:lang w:eastAsia="en-GB"/>
        </w:rPr>
        <w:t>”</w:t>
      </w:r>
      <w:r w:rsidRPr="00754D0A">
        <w:rPr>
          <w:sz w:val="18"/>
          <w:vertAlign w:val="superscript"/>
          <w:lang w:eastAsia="en-GB"/>
        </w:rPr>
        <w:footnoteReference w:id="76"/>
      </w:r>
      <w:r w:rsidRPr="00856AF2">
        <w:rPr>
          <w:lang w:eastAsia="en-GB"/>
        </w:rPr>
        <w:t xml:space="preserve"> in the case of Palestinian children held in the Israeli </w:t>
      </w:r>
      <w:r w:rsidR="000C3AD0">
        <w:rPr>
          <w:lang w:eastAsia="en-GB"/>
        </w:rPr>
        <w:t>m</w:t>
      </w:r>
      <w:r w:rsidRPr="00856AF2">
        <w:rPr>
          <w:lang w:eastAsia="en-GB"/>
        </w:rPr>
        <w:t xml:space="preserve">ilitary detention system. Israeli authorities seem to have taken some limited steps towards meeting </w:t>
      </w:r>
      <w:r w:rsidR="000C3AD0">
        <w:rPr>
          <w:lang w:eastAsia="en-GB"/>
        </w:rPr>
        <w:t xml:space="preserve">the </w:t>
      </w:r>
      <w:r w:rsidRPr="00856AF2">
        <w:rPr>
          <w:lang w:eastAsia="en-GB"/>
        </w:rPr>
        <w:t>UNICEF recommendations</w:t>
      </w:r>
      <w:r w:rsidR="002367D5">
        <w:rPr>
          <w:lang w:eastAsia="en-GB"/>
        </w:rPr>
        <w:t>,</w:t>
      </w:r>
      <w:r w:rsidRPr="00754D0A">
        <w:rPr>
          <w:sz w:val="18"/>
          <w:vertAlign w:val="superscript"/>
          <w:lang w:eastAsia="en-GB"/>
        </w:rPr>
        <w:footnoteReference w:id="77"/>
      </w:r>
      <w:r>
        <w:rPr>
          <w:lang w:eastAsia="en-GB"/>
        </w:rPr>
        <w:t xml:space="preserve"> including by </w:t>
      </w:r>
      <w:r w:rsidRPr="00856AF2">
        <w:rPr>
          <w:lang w:eastAsia="en-GB"/>
        </w:rPr>
        <w:t xml:space="preserve">piloting test summons in two </w:t>
      </w:r>
      <w:smartTag w:uri="urn:schemas-microsoft-com:office:smarttags" w:element="place">
        <w:r w:rsidRPr="00856AF2">
          <w:rPr>
            <w:lang w:eastAsia="en-GB"/>
          </w:rPr>
          <w:t>West Bank</w:t>
        </w:r>
      </w:smartTag>
      <w:r w:rsidRPr="00856AF2">
        <w:rPr>
          <w:lang w:eastAsia="en-GB"/>
        </w:rPr>
        <w:t xml:space="preserve"> areas instead of </w:t>
      </w:r>
      <w:r>
        <w:rPr>
          <w:lang w:eastAsia="en-GB"/>
        </w:rPr>
        <w:t xml:space="preserve">conducting </w:t>
      </w:r>
      <w:r w:rsidRPr="00856AF2">
        <w:rPr>
          <w:lang w:eastAsia="en-GB"/>
        </w:rPr>
        <w:t>frightening night arrests of children</w:t>
      </w:r>
      <w:r w:rsidR="002367D5">
        <w:rPr>
          <w:lang w:eastAsia="en-GB"/>
        </w:rPr>
        <w:t>.</w:t>
      </w:r>
      <w:r w:rsidRPr="00754D0A">
        <w:rPr>
          <w:sz w:val="18"/>
          <w:vertAlign w:val="superscript"/>
          <w:lang w:eastAsia="en-GB"/>
        </w:rPr>
        <w:footnoteReference w:id="78"/>
      </w:r>
      <w:r w:rsidRPr="00856AF2">
        <w:rPr>
          <w:lang w:eastAsia="en-GB"/>
        </w:rPr>
        <w:t xml:space="preserve"> While this is clearly a needed development, it also shows just how </w:t>
      </w:r>
      <w:r w:rsidRPr="00856AF2">
        <w:rPr>
          <w:lang w:eastAsia="en-GB"/>
        </w:rPr>
        <w:lastRenderedPageBreak/>
        <w:t xml:space="preserve">basic the denial and lack of protection of Palestinian children’s rights is under the Israeli military legal regime. By comparison, Israeli settler children in conflict with the law are subject to </w:t>
      </w:r>
      <w:r>
        <w:rPr>
          <w:lang w:eastAsia="en-GB"/>
        </w:rPr>
        <w:t xml:space="preserve">regular </w:t>
      </w:r>
      <w:r w:rsidRPr="00856AF2">
        <w:rPr>
          <w:lang w:eastAsia="en-GB"/>
        </w:rPr>
        <w:t xml:space="preserve">Israeli law. According to Defence for Children International, as </w:t>
      </w:r>
      <w:r w:rsidR="00F03A26">
        <w:rPr>
          <w:lang w:eastAsia="en-GB"/>
        </w:rPr>
        <w:t>at</w:t>
      </w:r>
      <w:r w:rsidR="00F03A26" w:rsidRPr="00856AF2">
        <w:rPr>
          <w:lang w:eastAsia="en-GB"/>
        </w:rPr>
        <w:t xml:space="preserve"> </w:t>
      </w:r>
      <w:r w:rsidRPr="00856AF2">
        <w:rPr>
          <w:lang w:eastAsia="en-GB"/>
        </w:rPr>
        <w:t>October 2013, 159 Palestinian children were in Israeli military detention</w:t>
      </w:r>
      <w:r w:rsidR="002367D5">
        <w:rPr>
          <w:lang w:eastAsia="en-GB"/>
        </w:rPr>
        <w:t>.</w:t>
      </w:r>
      <w:r w:rsidRPr="00754D0A">
        <w:rPr>
          <w:sz w:val="18"/>
          <w:vertAlign w:val="superscript"/>
          <w:lang w:eastAsia="en-GB"/>
        </w:rPr>
        <w:footnoteReference w:id="79"/>
      </w:r>
      <w:r w:rsidRPr="00856AF2">
        <w:rPr>
          <w:lang w:eastAsia="en-GB"/>
        </w:rPr>
        <w:t xml:space="preserve"> On average, around 700 children are detained and prosecuted per year, most commonly on charges of throwing stones</w:t>
      </w:r>
      <w:r w:rsidR="002367D5">
        <w:rPr>
          <w:lang w:eastAsia="en-GB"/>
        </w:rPr>
        <w:t>.</w:t>
      </w:r>
      <w:r w:rsidRPr="00754D0A">
        <w:rPr>
          <w:sz w:val="18"/>
          <w:vertAlign w:val="superscript"/>
          <w:lang w:eastAsia="en-GB"/>
        </w:rPr>
        <w:footnoteReference w:id="80"/>
      </w:r>
    </w:p>
    <w:p w:rsidR="00C05D53" w:rsidRPr="00856AF2" w:rsidRDefault="00C05D53" w:rsidP="00C05D53">
      <w:pPr>
        <w:pStyle w:val="SingleTxtG"/>
        <w:numPr>
          <w:ilvl w:val="0"/>
          <w:numId w:val="10"/>
        </w:numPr>
        <w:ind w:left="1134" w:firstLine="0"/>
        <w:rPr>
          <w:lang w:eastAsia="en-GB"/>
        </w:rPr>
      </w:pPr>
      <w:r w:rsidRPr="00856AF2">
        <w:rPr>
          <w:lang w:eastAsia="en-GB"/>
        </w:rPr>
        <w:t xml:space="preserve">The regular denial by </w:t>
      </w:r>
      <w:smartTag w:uri="urn:schemas-microsoft-com:office:smarttags" w:element="country-region">
        <w:r w:rsidRPr="00856AF2">
          <w:rPr>
            <w:lang w:eastAsia="en-GB"/>
          </w:rPr>
          <w:t>Israel</w:t>
        </w:r>
      </w:smartTag>
      <w:r w:rsidRPr="00856AF2">
        <w:rPr>
          <w:lang w:eastAsia="en-GB"/>
        </w:rPr>
        <w:t xml:space="preserve"> of the right to life and liberty of significant numbers of Palestinians is reflected in its policies, laws and practices in occupied </w:t>
      </w:r>
      <w:smartTag w:uri="urn:schemas-microsoft-com:office:smarttags" w:element="place">
        <w:smartTag w:uri="urn:schemas-microsoft-com:office:smarttags" w:element="City">
          <w:r w:rsidRPr="00856AF2">
            <w:rPr>
              <w:lang w:eastAsia="en-GB"/>
            </w:rPr>
            <w:t>Palestine</w:t>
          </w:r>
        </w:smartTag>
      </w:smartTag>
      <w:r w:rsidRPr="00856AF2">
        <w:rPr>
          <w:lang w:eastAsia="en-GB"/>
        </w:rPr>
        <w:t>.</w:t>
      </w:r>
    </w:p>
    <w:p w:rsidR="00C05D53" w:rsidRPr="001C43EC" w:rsidRDefault="00C05D53" w:rsidP="002367D5">
      <w:pPr>
        <w:pStyle w:val="SingleTxtG"/>
        <w:numPr>
          <w:ilvl w:val="0"/>
          <w:numId w:val="10"/>
        </w:numPr>
        <w:ind w:left="1134" w:firstLine="0"/>
        <w:rPr>
          <w:lang w:eastAsia="en-GB"/>
        </w:rPr>
      </w:pPr>
      <w:r w:rsidRPr="00CC4D1B">
        <w:rPr>
          <w:lang w:eastAsia="en-GB"/>
        </w:rPr>
        <w:t>Article</w:t>
      </w:r>
      <w:r w:rsidR="002367D5">
        <w:rPr>
          <w:lang w:eastAsia="en-GB"/>
        </w:rPr>
        <w:t> </w:t>
      </w:r>
      <w:r w:rsidRPr="00CC4D1B">
        <w:rPr>
          <w:lang w:eastAsia="en-GB"/>
        </w:rPr>
        <w:t xml:space="preserve">2(b) refers to the imposition of living conditions calculated to cause a group’s physical destruction in whole or in part. It seems unlikely that </w:t>
      </w:r>
      <w:r w:rsidR="00A20493">
        <w:rPr>
          <w:lang w:eastAsia="en-GB"/>
        </w:rPr>
        <w:t>the</w:t>
      </w:r>
      <w:r w:rsidR="00A20493" w:rsidRPr="00CC4D1B">
        <w:rPr>
          <w:lang w:eastAsia="en-GB"/>
        </w:rPr>
        <w:t xml:space="preserve"> </w:t>
      </w:r>
      <w:r w:rsidRPr="00CC4D1B">
        <w:rPr>
          <w:lang w:eastAsia="en-GB"/>
        </w:rPr>
        <w:t>policies, laws and practices</w:t>
      </w:r>
      <w:r w:rsidR="00A20493">
        <w:rPr>
          <w:lang w:eastAsia="en-GB"/>
        </w:rPr>
        <w:t xml:space="preserve"> of </w:t>
      </w:r>
      <w:smartTag w:uri="urn:schemas-microsoft-com:office:smarttags" w:element="country-region">
        <w:smartTag w:uri="urn:schemas-microsoft-com:office:smarttags" w:element="place">
          <w:r w:rsidR="00A20493">
            <w:rPr>
              <w:lang w:eastAsia="en-GB"/>
            </w:rPr>
            <w:t>Israel</w:t>
          </w:r>
        </w:smartTag>
      </w:smartTag>
      <w:r w:rsidRPr="00CC4D1B">
        <w:rPr>
          <w:lang w:eastAsia="en-GB"/>
        </w:rPr>
        <w:t xml:space="preserve"> can be said to have as their aim the physical destruction of the occupied people</w:t>
      </w:r>
      <w:r w:rsidR="002367D5">
        <w:rPr>
          <w:lang w:eastAsia="en-GB"/>
        </w:rPr>
        <w:t>.</w:t>
      </w:r>
      <w:r w:rsidRPr="00CC4D1B">
        <w:rPr>
          <w:sz w:val="18"/>
          <w:vertAlign w:val="superscript"/>
          <w:lang w:eastAsia="en-GB"/>
        </w:rPr>
        <w:footnoteReference w:id="81"/>
      </w:r>
    </w:p>
    <w:p w:rsidR="008F4E44" w:rsidRDefault="00C05D53" w:rsidP="002367D5">
      <w:pPr>
        <w:pStyle w:val="SingleTxtG"/>
        <w:numPr>
          <w:ilvl w:val="0"/>
          <w:numId w:val="10"/>
        </w:numPr>
        <w:ind w:left="1134" w:firstLine="0"/>
        <w:rPr>
          <w:lang w:eastAsia="en-GB"/>
        </w:rPr>
      </w:pPr>
      <w:r w:rsidRPr="00A825D6">
        <w:rPr>
          <w:lang w:eastAsia="en-GB"/>
        </w:rPr>
        <w:t>Article</w:t>
      </w:r>
      <w:r w:rsidR="002367D5">
        <w:rPr>
          <w:lang w:eastAsia="en-GB"/>
        </w:rPr>
        <w:t> </w:t>
      </w:r>
      <w:r w:rsidRPr="00A825D6">
        <w:rPr>
          <w:lang w:eastAsia="en-GB"/>
        </w:rPr>
        <w:t xml:space="preserve">2(c) </w:t>
      </w:r>
      <w:r>
        <w:rPr>
          <w:lang w:eastAsia="en-GB"/>
        </w:rPr>
        <w:t xml:space="preserve">concerns </w:t>
      </w:r>
      <w:r w:rsidRPr="00A825D6">
        <w:rPr>
          <w:lang w:eastAsia="en-GB"/>
        </w:rPr>
        <w:t xml:space="preserve">measures calculated to prevent participation in the political, social, economic and cultural life of the country and the full development of </w:t>
      </w:r>
      <w:r>
        <w:rPr>
          <w:lang w:eastAsia="en-GB"/>
        </w:rPr>
        <w:t>a racial group</w:t>
      </w:r>
      <w:r w:rsidRPr="00A825D6">
        <w:rPr>
          <w:lang w:eastAsia="en-GB"/>
        </w:rPr>
        <w:t>,</w:t>
      </w:r>
      <w:r>
        <w:rPr>
          <w:lang w:eastAsia="en-GB"/>
        </w:rPr>
        <w:t xml:space="preserve"> including and especially by denying them their rights </w:t>
      </w:r>
      <w:r w:rsidRPr="00A825D6">
        <w:rPr>
          <w:lang w:eastAsia="en-GB"/>
        </w:rPr>
        <w:t xml:space="preserve">to work, </w:t>
      </w:r>
      <w:r w:rsidR="00A20493">
        <w:rPr>
          <w:lang w:eastAsia="en-GB"/>
        </w:rPr>
        <w:t xml:space="preserve">to </w:t>
      </w:r>
      <w:r w:rsidRPr="00A825D6">
        <w:rPr>
          <w:lang w:eastAsia="en-GB"/>
        </w:rPr>
        <w:t xml:space="preserve">education, to leave and to return to their country, </w:t>
      </w:r>
      <w:r w:rsidR="00636D53">
        <w:rPr>
          <w:lang w:eastAsia="en-GB"/>
        </w:rPr>
        <w:t xml:space="preserve">to </w:t>
      </w:r>
      <w:r w:rsidRPr="00A825D6">
        <w:rPr>
          <w:lang w:eastAsia="en-GB"/>
        </w:rPr>
        <w:t xml:space="preserve">nationality, </w:t>
      </w:r>
      <w:r>
        <w:rPr>
          <w:lang w:eastAsia="en-GB"/>
        </w:rPr>
        <w:t xml:space="preserve">and </w:t>
      </w:r>
      <w:r w:rsidR="00636D53">
        <w:rPr>
          <w:lang w:eastAsia="en-GB"/>
        </w:rPr>
        <w:t xml:space="preserve">to </w:t>
      </w:r>
      <w:r w:rsidRPr="00A825D6">
        <w:rPr>
          <w:lang w:eastAsia="en-GB"/>
        </w:rPr>
        <w:t>freedom</w:t>
      </w:r>
      <w:r>
        <w:rPr>
          <w:lang w:eastAsia="en-GB"/>
        </w:rPr>
        <w:t>s</w:t>
      </w:r>
      <w:r w:rsidRPr="00A825D6">
        <w:rPr>
          <w:lang w:eastAsia="en-GB"/>
        </w:rPr>
        <w:t xml:space="preserve"> of movement and residence, opinion and expression, and peaceful assembly and association</w:t>
      </w:r>
      <w:r>
        <w:rPr>
          <w:lang w:eastAsia="en-GB"/>
        </w:rPr>
        <w:t>.</w:t>
      </w:r>
      <w:r w:rsidR="008F4E44">
        <w:rPr>
          <w:lang w:eastAsia="en-GB"/>
        </w:rPr>
        <w:t xml:space="preserve"> </w:t>
      </w:r>
    </w:p>
    <w:p w:rsidR="00C05D53" w:rsidRPr="00856AF2" w:rsidRDefault="00C05D53" w:rsidP="002367D5">
      <w:pPr>
        <w:pStyle w:val="SingleTxtG"/>
        <w:numPr>
          <w:ilvl w:val="0"/>
          <w:numId w:val="10"/>
        </w:numPr>
        <w:ind w:left="1134" w:firstLine="0"/>
        <w:rPr>
          <w:lang w:eastAsia="en-GB"/>
        </w:rPr>
      </w:pPr>
      <w:r>
        <w:rPr>
          <w:lang w:eastAsia="en-GB"/>
        </w:rPr>
        <w:t xml:space="preserve">Violations of many of these rights have already been touched on </w:t>
      </w:r>
      <w:r w:rsidRPr="00856AF2">
        <w:rPr>
          <w:lang w:eastAsia="en-GB"/>
        </w:rPr>
        <w:t xml:space="preserve">in preceding sections. For instance the violations by </w:t>
      </w:r>
      <w:smartTag w:uri="urn:schemas-microsoft-com:office:smarttags" w:element="country-region">
        <w:r w:rsidRPr="00856AF2">
          <w:rPr>
            <w:lang w:eastAsia="en-GB"/>
          </w:rPr>
          <w:t>Israel</w:t>
        </w:r>
      </w:smartTag>
      <w:r w:rsidRPr="00856AF2">
        <w:rPr>
          <w:lang w:eastAsia="en-GB"/>
        </w:rPr>
        <w:t xml:space="preserve"> of the rights to work, education, freedom of movement and residence, </w:t>
      </w:r>
      <w:r w:rsidR="00646033">
        <w:rPr>
          <w:lang w:eastAsia="en-GB"/>
        </w:rPr>
        <w:t>and</w:t>
      </w:r>
      <w:r w:rsidRPr="00856AF2">
        <w:rPr>
          <w:lang w:eastAsia="en-GB"/>
        </w:rPr>
        <w:t xml:space="preserve"> freedom of expression and assembly have been illustrated in the context of discussing the wall and its associated regime, and policies and laws related to the development of settlements, including in </w:t>
      </w:r>
      <w:smartTag w:uri="urn:schemas-microsoft-com:office:smarttags" w:element="place">
        <w:r w:rsidRPr="00856AF2">
          <w:rPr>
            <w:lang w:eastAsia="en-GB"/>
          </w:rPr>
          <w:t>East Jerusalem</w:t>
        </w:r>
      </w:smartTag>
      <w:r w:rsidRPr="00856AF2">
        <w:rPr>
          <w:lang w:eastAsia="en-GB"/>
        </w:rPr>
        <w:t>.</w:t>
      </w:r>
      <w:r>
        <w:rPr>
          <w:lang w:eastAsia="en-GB"/>
        </w:rPr>
        <w:t xml:space="preserve"> The rights to work, to freedom of movement, and to leave and return to one’s country, are particularly relevant to </w:t>
      </w:r>
      <w:smartTag w:uri="urn:schemas-microsoft-com:office:smarttags" w:element="place">
        <w:smartTag w:uri="urn:schemas-microsoft-com:office:smarttags" w:element="City">
          <w:r>
            <w:rPr>
              <w:lang w:eastAsia="en-GB"/>
            </w:rPr>
            <w:t>Gaza</w:t>
          </w:r>
        </w:smartTag>
      </w:smartTag>
      <w:r>
        <w:rPr>
          <w:lang w:eastAsia="en-GB"/>
        </w:rPr>
        <w:t xml:space="preserve">. In the </w:t>
      </w:r>
      <w:smartTag w:uri="urn:schemas-microsoft-com:office:smarttags" w:element="place">
        <w:r>
          <w:rPr>
            <w:lang w:eastAsia="en-GB"/>
          </w:rPr>
          <w:t>West Bank</w:t>
        </w:r>
      </w:smartTag>
      <w:r w:rsidRPr="00856AF2">
        <w:rPr>
          <w:lang w:eastAsia="en-GB"/>
        </w:rPr>
        <w:t>, the denial of rights to Palestinians is made possible by the existence of parallel legal systems operating in the same territory: one set of civil and criminal laws for Israeli settlers and another for Palestinian Arabs</w:t>
      </w:r>
      <w:r>
        <w:rPr>
          <w:lang w:eastAsia="en-GB"/>
        </w:rPr>
        <w:t>, subject to Israeli military orders, as well as other laws</w:t>
      </w:r>
      <w:r w:rsidRPr="00856AF2">
        <w:rPr>
          <w:lang w:eastAsia="en-GB"/>
        </w:rPr>
        <w:t>.</w:t>
      </w:r>
      <w:r w:rsidRPr="00DB7E00">
        <w:rPr>
          <w:lang w:eastAsia="en-GB"/>
        </w:rPr>
        <w:t xml:space="preserve"> </w:t>
      </w:r>
      <w:r w:rsidRPr="008F4E44">
        <w:rPr>
          <w:iCs/>
          <w:lang w:eastAsia="en-GB"/>
        </w:rPr>
        <w:t>While the Israeli High Court of Justice formally exercises judicial oversight of the Israeli administration in occupied Palestine, according to NGOs, case law illustrates a trend whereby major policy decisions of government, e.g. relating to the wall and settlements, tend to be immune from judicial intervention, and that human rights and protection under international humanitarian law have not been adequately upheld by the High Court in its rulings</w:t>
      </w:r>
      <w:r w:rsidR="002367D5">
        <w:rPr>
          <w:iCs/>
          <w:lang w:eastAsia="en-GB"/>
        </w:rPr>
        <w:t>.</w:t>
      </w:r>
      <w:r w:rsidR="00F552FE">
        <w:rPr>
          <w:rStyle w:val="FootnoteReference"/>
          <w:iCs/>
          <w:lang w:eastAsia="en-GB"/>
        </w:rPr>
        <w:footnoteReference w:id="82"/>
      </w:r>
      <w:r w:rsidRPr="00856AF2">
        <w:rPr>
          <w:lang w:eastAsia="en-GB"/>
        </w:rPr>
        <w:t xml:space="preserve"> </w:t>
      </w:r>
      <w:r>
        <w:rPr>
          <w:lang w:eastAsia="en-GB"/>
        </w:rPr>
        <w:t xml:space="preserve">The creation of Israeli legal zones for settlers and the resulting segregation was noted in the 2013 report by the independent fact-finding mission on settlements (A/HRC/22/63). </w:t>
      </w:r>
      <w:r w:rsidRPr="00856AF2">
        <w:rPr>
          <w:lang w:eastAsia="en-GB"/>
        </w:rPr>
        <w:t>The Committee</w:t>
      </w:r>
      <w:r w:rsidR="00BE358C">
        <w:rPr>
          <w:lang w:eastAsia="en-GB"/>
        </w:rPr>
        <w:t xml:space="preserve"> on the Elimination of Racial Discrimination</w:t>
      </w:r>
      <w:r w:rsidRPr="00856AF2">
        <w:rPr>
          <w:lang w:eastAsia="en-GB"/>
        </w:rPr>
        <w:t xml:space="preserve"> in 2012 expressed that it was “extremely concerned” at policies and practices amounting to de facto segregation and that it was “particularly appalled at the hermetic character of the separation of the two groups”</w:t>
      </w:r>
      <w:r w:rsidR="00BE358C">
        <w:rPr>
          <w:lang w:eastAsia="en-GB"/>
        </w:rPr>
        <w:t xml:space="preserve"> (</w:t>
      </w:r>
      <w:r w:rsidR="00BE358C" w:rsidRPr="00411345">
        <w:rPr>
          <w:lang w:val="en-US"/>
        </w:rPr>
        <w:t>CERD/C/ISR/CO/14-16</w:t>
      </w:r>
      <w:r w:rsidR="00BE358C">
        <w:rPr>
          <w:lang w:val="en-US"/>
        </w:rPr>
        <w:t>, para. 24)</w:t>
      </w:r>
      <w:r w:rsidR="002367D5">
        <w:rPr>
          <w:lang w:eastAsia="en-GB"/>
        </w:rPr>
        <w:t>.</w:t>
      </w:r>
    </w:p>
    <w:p w:rsidR="00C05D53" w:rsidRPr="00856AF2" w:rsidRDefault="00C05D53" w:rsidP="00C05D53">
      <w:pPr>
        <w:pStyle w:val="SingleTxtG"/>
        <w:numPr>
          <w:ilvl w:val="0"/>
          <w:numId w:val="10"/>
        </w:numPr>
        <w:ind w:left="1134" w:firstLine="0"/>
        <w:rPr>
          <w:lang w:eastAsia="en-GB"/>
        </w:rPr>
      </w:pPr>
      <w:r w:rsidRPr="00856AF2">
        <w:rPr>
          <w:lang w:eastAsia="en-GB"/>
        </w:rPr>
        <w:t>It is clear that Israeli measures, in the form of policies, laws and practices, have the effect of preventing Palestinians from full participation in the political, social, economic and cultural life of Palestine and arguably also prevent their full development</w:t>
      </w:r>
      <w:r>
        <w:rPr>
          <w:lang w:eastAsia="en-GB"/>
        </w:rPr>
        <w:t xml:space="preserve"> in both the West Bank and the Gaza Strip</w:t>
      </w:r>
      <w:r w:rsidRPr="00856AF2">
        <w:rPr>
          <w:lang w:eastAsia="en-GB"/>
        </w:rPr>
        <w:t>.</w:t>
      </w:r>
    </w:p>
    <w:p w:rsidR="00C05D53" w:rsidRPr="00856AF2" w:rsidRDefault="00C05D53" w:rsidP="002367D5">
      <w:pPr>
        <w:pStyle w:val="SingleTxtG"/>
        <w:numPr>
          <w:ilvl w:val="0"/>
          <w:numId w:val="10"/>
        </w:numPr>
        <w:ind w:left="1134" w:firstLine="0"/>
        <w:rPr>
          <w:lang w:eastAsia="en-GB"/>
        </w:rPr>
      </w:pPr>
      <w:r w:rsidRPr="00A825D6">
        <w:rPr>
          <w:lang w:eastAsia="en-GB"/>
        </w:rPr>
        <w:lastRenderedPageBreak/>
        <w:t>Article</w:t>
      </w:r>
      <w:r w:rsidR="002367D5">
        <w:rPr>
          <w:lang w:eastAsia="en-GB"/>
        </w:rPr>
        <w:t> </w:t>
      </w:r>
      <w:r w:rsidRPr="00A825D6">
        <w:rPr>
          <w:lang w:eastAsia="en-GB"/>
        </w:rPr>
        <w:t xml:space="preserve">2(d) </w:t>
      </w:r>
      <w:r>
        <w:rPr>
          <w:lang w:eastAsia="en-GB"/>
        </w:rPr>
        <w:t xml:space="preserve">refers to </w:t>
      </w:r>
      <w:r w:rsidRPr="00A825D6">
        <w:rPr>
          <w:lang w:eastAsia="en-GB"/>
        </w:rPr>
        <w:t xml:space="preserve">measures designed to divide the population along racial lines </w:t>
      </w:r>
      <w:r>
        <w:rPr>
          <w:lang w:eastAsia="en-GB"/>
        </w:rPr>
        <w:t xml:space="preserve">including </w:t>
      </w:r>
      <w:r w:rsidRPr="00A825D6">
        <w:rPr>
          <w:lang w:eastAsia="en-GB"/>
        </w:rPr>
        <w:t xml:space="preserve">by the creation of separate reserves and ghettos for the members of a racial group or groups, </w:t>
      </w:r>
      <w:r>
        <w:rPr>
          <w:lang w:eastAsia="en-GB"/>
        </w:rPr>
        <w:t xml:space="preserve">and </w:t>
      </w:r>
      <w:r w:rsidRPr="00A825D6">
        <w:rPr>
          <w:lang w:eastAsia="en-GB"/>
        </w:rPr>
        <w:t>the expropriation of landed property</w:t>
      </w:r>
      <w:r>
        <w:rPr>
          <w:lang w:eastAsia="en-GB"/>
        </w:rPr>
        <w:t>.</w:t>
      </w:r>
      <w:r w:rsidR="008F4E44">
        <w:rPr>
          <w:lang w:eastAsia="en-GB"/>
        </w:rPr>
        <w:t xml:space="preserve"> </w:t>
      </w:r>
      <w:r w:rsidRPr="00856AF2">
        <w:rPr>
          <w:lang w:eastAsia="en-GB"/>
        </w:rPr>
        <w:t>The expropriation of Palestinian land is an obvious part of the expansion of settlements and of the construction of the wall. The fragmentation of Palestinian land and creation of separate reserves and enclaves, including the plans threatening to cut off East Jerusalem from the rest of the West bank, is well</w:t>
      </w:r>
      <w:r w:rsidR="00575889">
        <w:rPr>
          <w:lang w:eastAsia="en-GB"/>
        </w:rPr>
        <w:t xml:space="preserve"> </w:t>
      </w:r>
      <w:r w:rsidRPr="00856AF2">
        <w:rPr>
          <w:lang w:eastAsia="en-GB"/>
        </w:rPr>
        <w:t>documented</w:t>
      </w:r>
      <w:r w:rsidR="00575889">
        <w:rPr>
          <w:lang w:eastAsia="en-GB"/>
        </w:rPr>
        <w:t xml:space="preserve"> (</w:t>
      </w:r>
      <w:r w:rsidR="00575889" w:rsidRPr="00B85513">
        <w:t>A/HRC/22/63</w:t>
      </w:r>
      <w:r w:rsidR="00575889">
        <w:t>)</w:t>
      </w:r>
      <w:r w:rsidR="002367D5">
        <w:rPr>
          <w:lang w:eastAsia="en-GB"/>
        </w:rPr>
        <w:t>.</w:t>
      </w:r>
      <w:r w:rsidRPr="00856AF2">
        <w:rPr>
          <w:lang w:eastAsia="en-GB"/>
        </w:rPr>
        <w:t xml:space="preserve"> The final conclusions of the Russell Tribunal on </w:t>
      </w:r>
      <w:smartTag w:uri="urn:schemas-microsoft-com:office:smarttags" w:element="City">
        <w:r w:rsidRPr="00856AF2">
          <w:rPr>
            <w:lang w:eastAsia="en-GB"/>
          </w:rPr>
          <w:t>Palestine</w:t>
        </w:r>
      </w:smartTag>
      <w:r>
        <w:rPr>
          <w:lang w:eastAsia="en-GB"/>
        </w:rPr>
        <w:t xml:space="preserve"> </w:t>
      </w:r>
      <w:r w:rsidRPr="00856AF2">
        <w:rPr>
          <w:lang w:eastAsia="en-GB"/>
        </w:rPr>
        <w:t>state</w:t>
      </w:r>
      <w:r w:rsidR="000B41A7">
        <w:rPr>
          <w:lang w:eastAsia="en-GB"/>
        </w:rPr>
        <w:t>:</w:t>
      </w:r>
      <w:r w:rsidRPr="00856AF2">
        <w:rPr>
          <w:lang w:eastAsia="en-GB"/>
        </w:rPr>
        <w:t xml:space="preserve"> </w:t>
      </w:r>
      <w:r w:rsidRPr="007E626D">
        <w:rPr>
          <w:lang w:eastAsia="en-GB"/>
        </w:rPr>
        <w:t>“</w:t>
      </w:r>
      <w:smartTag w:uri="urn:schemas-microsoft-com:office:smarttags" w:element="country-region">
        <w:smartTag w:uri="urn:schemas-microsoft-com:office:smarttags" w:element="place">
          <w:r w:rsidRPr="00856AF2">
            <w:rPr>
              <w:lang w:eastAsia="en-GB"/>
            </w:rPr>
            <w:t>Israel</w:t>
          </w:r>
        </w:smartTag>
      </w:smartTag>
      <w:r w:rsidRPr="00856AF2">
        <w:rPr>
          <w:lang w:eastAsia="en-GB"/>
        </w:rPr>
        <w:t xml:space="preserve"> has through its laws and practices divided the Israeli Jewish and Palestinian populations and allocated them different physical </w:t>
      </w:r>
      <w:r w:rsidR="000B41A7" w:rsidRPr="00856AF2">
        <w:rPr>
          <w:lang w:eastAsia="en-GB"/>
        </w:rPr>
        <w:t>sp</w:t>
      </w:r>
      <w:r w:rsidR="000B41A7">
        <w:rPr>
          <w:lang w:eastAsia="en-GB"/>
        </w:rPr>
        <w:t>aces</w:t>
      </w:r>
      <w:r w:rsidRPr="00856AF2">
        <w:rPr>
          <w:lang w:eastAsia="en-GB"/>
        </w:rPr>
        <w:t xml:space="preserve">, with varying levels and quality of infrastructure, services and access to resources. The end result is wholesale territorial fragmentation and a series of separate reserves and enclaves, with the two groups largely segregated. The Tribunal heard evidence to the effect that such a policy is formally described in </w:t>
      </w:r>
      <w:smartTag w:uri="urn:schemas-microsoft-com:office:smarttags" w:element="country-region">
        <w:smartTag w:uri="urn:schemas-microsoft-com:office:smarttags" w:element="place">
          <w:r w:rsidRPr="00856AF2">
            <w:rPr>
              <w:lang w:eastAsia="en-GB"/>
            </w:rPr>
            <w:t>Israel</w:t>
          </w:r>
        </w:smartTag>
      </w:smartTag>
      <w:r w:rsidRPr="00856AF2">
        <w:rPr>
          <w:lang w:eastAsia="en-GB"/>
        </w:rPr>
        <w:t xml:space="preserve"> as </w:t>
      </w:r>
      <w:r w:rsidRPr="00360FE6">
        <w:rPr>
          <w:i/>
          <w:lang w:eastAsia="en-GB"/>
        </w:rPr>
        <w:t>hafrada</w:t>
      </w:r>
      <w:r w:rsidRPr="00856AF2">
        <w:rPr>
          <w:lang w:eastAsia="en-GB"/>
        </w:rPr>
        <w:t xml:space="preserve">, Hebrew for </w:t>
      </w:r>
      <w:r w:rsidR="000B41A7">
        <w:rPr>
          <w:lang w:eastAsia="en-GB"/>
        </w:rPr>
        <w:t>‘</w:t>
      </w:r>
      <w:r w:rsidRPr="00E63926">
        <w:rPr>
          <w:lang w:eastAsia="en-GB"/>
        </w:rPr>
        <w:t>separation</w:t>
      </w:r>
      <w:r w:rsidR="000B41A7">
        <w:rPr>
          <w:lang w:eastAsia="en-GB"/>
        </w:rPr>
        <w:t>’ </w:t>
      </w:r>
      <w:r w:rsidRPr="00E63926">
        <w:rPr>
          <w:lang w:eastAsia="en-GB"/>
        </w:rPr>
        <w:t>”</w:t>
      </w:r>
      <w:r w:rsidR="002367D5" w:rsidRPr="00E63926">
        <w:rPr>
          <w:lang w:eastAsia="en-GB"/>
        </w:rPr>
        <w:t>.</w:t>
      </w:r>
      <w:r w:rsidRPr="00E63926">
        <w:rPr>
          <w:sz w:val="18"/>
          <w:vertAlign w:val="superscript"/>
          <w:lang w:eastAsia="en-GB"/>
        </w:rPr>
        <w:footnoteReference w:id="83"/>
      </w:r>
      <w:r w:rsidRPr="00856AF2">
        <w:rPr>
          <w:lang w:eastAsia="en-GB"/>
        </w:rPr>
        <w:t xml:space="preserve"> The Special Rapporteur has previously drawn attention to the dual system of roads in the </w:t>
      </w:r>
      <w:smartTag w:uri="urn:schemas-microsoft-com:office:smarttags" w:element="place">
        <w:r w:rsidRPr="00856AF2">
          <w:rPr>
            <w:lang w:eastAsia="en-GB"/>
          </w:rPr>
          <w:t>West Bank</w:t>
        </w:r>
      </w:smartTag>
      <w:r w:rsidRPr="00856AF2">
        <w:rPr>
          <w:lang w:eastAsia="en-GB"/>
        </w:rPr>
        <w:t>, as a clear example of segregation, where Palestinians are largely relegated to alternative roads and forced to take long detours</w:t>
      </w:r>
      <w:r w:rsidR="00C52794">
        <w:rPr>
          <w:lang w:eastAsia="en-GB"/>
        </w:rPr>
        <w:t xml:space="preserve"> (</w:t>
      </w:r>
      <w:r w:rsidR="00C52794" w:rsidRPr="00F753F9">
        <w:t>A/HRC/16/72</w:t>
      </w:r>
      <w:r w:rsidR="00C52794">
        <w:t>, paras. 20–22)</w:t>
      </w:r>
      <w:r w:rsidR="002367D5">
        <w:rPr>
          <w:lang w:eastAsia="en-GB"/>
        </w:rPr>
        <w:t>.</w:t>
      </w:r>
    </w:p>
    <w:p w:rsidR="00C05D53" w:rsidRPr="00856AF2" w:rsidRDefault="00C05D53" w:rsidP="00C05D53">
      <w:pPr>
        <w:pStyle w:val="SingleTxtG"/>
        <w:numPr>
          <w:ilvl w:val="0"/>
          <w:numId w:val="10"/>
        </w:numPr>
        <w:ind w:left="1134" w:firstLine="0"/>
        <w:rPr>
          <w:lang w:eastAsia="en-GB"/>
        </w:rPr>
      </w:pPr>
      <w:r w:rsidRPr="00856AF2">
        <w:rPr>
          <w:lang w:eastAsia="en-GB"/>
        </w:rPr>
        <w:t xml:space="preserve">It seems incontestable that Israeli measures do divide the population of </w:t>
      </w:r>
      <w:r w:rsidR="00DB21E3">
        <w:rPr>
          <w:lang w:eastAsia="en-GB"/>
        </w:rPr>
        <w:t xml:space="preserve">the </w:t>
      </w:r>
      <w:smartTag w:uri="urn:schemas-microsoft-com:office:smarttags" w:element="place">
        <w:smartTag w:uri="urn:schemas-microsoft-com:office:smarttags" w:element="PlaceName">
          <w:r w:rsidR="00DB21E3">
            <w:rPr>
              <w:lang w:eastAsia="en-GB"/>
            </w:rPr>
            <w:t>Occupied</w:t>
          </w:r>
        </w:smartTag>
        <w:r w:rsidR="00DB21E3">
          <w:rPr>
            <w:lang w:eastAsia="en-GB"/>
          </w:rPr>
          <w:t xml:space="preserve"> </w:t>
        </w:r>
        <w:smartTag w:uri="urn:schemas-microsoft-com:office:smarttags" w:element="PlaceName">
          <w:r w:rsidR="00DB21E3">
            <w:rPr>
              <w:lang w:eastAsia="en-GB"/>
            </w:rPr>
            <w:t>Palestinian</w:t>
          </w:r>
        </w:smartTag>
        <w:r w:rsidR="00DB21E3">
          <w:rPr>
            <w:lang w:eastAsia="en-GB"/>
          </w:rPr>
          <w:t xml:space="preserve"> </w:t>
        </w:r>
        <w:smartTag w:uri="urn:schemas-microsoft-com:office:smarttags" w:element="PlaceType">
          <w:r w:rsidR="00DB21E3">
            <w:rPr>
              <w:lang w:eastAsia="en-GB"/>
            </w:rPr>
            <w:t>Territory</w:t>
          </w:r>
        </w:smartTag>
      </w:smartTag>
      <w:r w:rsidRPr="00856AF2">
        <w:rPr>
          <w:lang w:eastAsia="en-GB"/>
        </w:rPr>
        <w:t xml:space="preserve"> along racial lines, create separate reserves for Palestinians and expropriate their land.</w:t>
      </w:r>
    </w:p>
    <w:p w:rsidR="00C05D53" w:rsidRPr="00856AF2" w:rsidRDefault="00C05D53" w:rsidP="002367D5">
      <w:pPr>
        <w:pStyle w:val="SingleTxtG"/>
        <w:numPr>
          <w:ilvl w:val="0"/>
          <w:numId w:val="10"/>
        </w:numPr>
        <w:ind w:left="1134" w:firstLine="0"/>
        <w:rPr>
          <w:lang w:eastAsia="en-GB"/>
        </w:rPr>
      </w:pPr>
      <w:r w:rsidRPr="00A825D6">
        <w:rPr>
          <w:lang w:eastAsia="en-GB"/>
        </w:rPr>
        <w:t>Article</w:t>
      </w:r>
      <w:r w:rsidR="002367D5">
        <w:rPr>
          <w:lang w:eastAsia="en-GB"/>
        </w:rPr>
        <w:t> </w:t>
      </w:r>
      <w:r w:rsidRPr="00A825D6">
        <w:rPr>
          <w:lang w:eastAsia="en-GB"/>
        </w:rPr>
        <w:t xml:space="preserve">2(e) </w:t>
      </w:r>
      <w:r>
        <w:rPr>
          <w:lang w:eastAsia="en-GB"/>
        </w:rPr>
        <w:t xml:space="preserve">refers to </w:t>
      </w:r>
      <w:r w:rsidRPr="00A825D6">
        <w:rPr>
          <w:lang w:eastAsia="en-GB"/>
        </w:rPr>
        <w:t>exploitation of labour</w:t>
      </w:r>
      <w:r>
        <w:rPr>
          <w:lang w:eastAsia="en-GB"/>
        </w:rPr>
        <w:t>.</w:t>
      </w:r>
      <w:r w:rsidR="008F4E44">
        <w:rPr>
          <w:lang w:eastAsia="en-GB"/>
        </w:rPr>
        <w:t xml:space="preserve"> </w:t>
      </w:r>
      <w:r w:rsidRPr="00856AF2">
        <w:rPr>
          <w:lang w:eastAsia="en-GB"/>
        </w:rPr>
        <w:t>There exist historical reports</w:t>
      </w:r>
      <w:r w:rsidRPr="00754D0A">
        <w:rPr>
          <w:sz w:val="18"/>
          <w:vertAlign w:val="superscript"/>
          <w:lang w:eastAsia="en-GB"/>
        </w:rPr>
        <w:footnoteReference w:id="84"/>
      </w:r>
      <w:r w:rsidRPr="008F4E44">
        <w:rPr>
          <w:sz w:val="18"/>
          <w:vertAlign w:val="superscript"/>
          <w:lang w:eastAsia="en-GB"/>
        </w:rPr>
        <w:t xml:space="preserve"> </w:t>
      </w:r>
      <w:r w:rsidRPr="00856AF2">
        <w:rPr>
          <w:lang w:eastAsia="en-GB"/>
        </w:rPr>
        <w:t>as well as current campaigns and reports</w:t>
      </w:r>
      <w:r w:rsidRPr="00754D0A">
        <w:rPr>
          <w:sz w:val="18"/>
          <w:vertAlign w:val="superscript"/>
          <w:lang w:eastAsia="en-GB"/>
        </w:rPr>
        <w:footnoteReference w:id="85"/>
      </w:r>
      <w:r w:rsidRPr="00856AF2">
        <w:rPr>
          <w:lang w:eastAsia="en-GB"/>
        </w:rPr>
        <w:t xml:space="preserve"> which address poor working conditions of Palestinian citizens working in </w:t>
      </w:r>
      <w:smartTag w:uri="urn:schemas-microsoft-com:office:smarttags" w:element="place">
        <w:smartTag w:uri="urn:schemas-microsoft-com:office:smarttags" w:element="country-region">
          <w:r w:rsidRPr="00856AF2">
            <w:rPr>
              <w:lang w:eastAsia="en-GB"/>
            </w:rPr>
            <w:t>Israel</w:t>
          </w:r>
        </w:smartTag>
      </w:smartTag>
      <w:r w:rsidRPr="00856AF2">
        <w:rPr>
          <w:lang w:eastAsia="en-GB"/>
        </w:rPr>
        <w:t xml:space="preserve"> or in settlements. However, </w:t>
      </w:r>
      <w:r>
        <w:rPr>
          <w:lang w:eastAsia="en-GB"/>
        </w:rPr>
        <w:t>it is noted that there has been a</w:t>
      </w:r>
      <w:r w:rsidRPr="00856AF2">
        <w:rPr>
          <w:lang w:eastAsia="en-GB"/>
        </w:rPr>
        <w:t xml:space="preserve"> sharp drop in Israeli use of Palestinian workers since the 1990s, especially </w:t>
      </w:r>
      <w:r w:rsidR="00F552FE">
        <w:rPr>
          <w:lang w:eastAsia="en-GB"/>
        </w:rPr>
        <w:t>as</w:t>
      </w:r>
      <w:r w:rsidRPr="00856AF2">
        <w:rPr>
          <w:lang w:eastAsia="en-GB"/>
        </w:rPr>
        <w:t xml:space="preserve"> it is now impossible for Gazans to work in </w:t>
      </w:r>
      <w:smartTag w:uri="urn:schemas-microsoft-com:office:smarttags" w:element="country-region">
        <w:r w:rsidRPr="00856AF2">
          <w:rPr>
            <w:lang w:eastAsia="en-GB"/>
          </w:rPr>
          <w:t>Israel</w:t>
        </w:r>
      </w:smartTag>
      <w:r w:rsidRPr="00856AF2">
        <w:rPr>
          <w:lang w:eastAsia="en-GB"/>
        </w:rPr>
        <w:t xml:space="preserve"> and since in the West Bank the construction of the wall has further diminished the number of Palestinians working in </w:t>
      </w:r>
      <w:smartTag w:uri="urn:schemas-microsoft-com:office:smarttags" w:element="place">
        <w:smartTag w:uri="urn:schemas-microsoft-com:office:smarttags" w:element="country-region">
          <w:r w:rsidRPr="00856AF2">
            <w:rPr>
              <w:lang w:eastAsia="en-GB"/>
            </w:rPr>
            <w:t>Israel</w:t>
          </w:r>
        </w:smartTag>
      </w:smartTag>
      <w:r w:rsidRPr="00856AF2">
        <w:rPr>
          <w:lang w:eastAsia="en-GB"/>
        </w:rPr>
        <w:t xml:space="preserve"> or for Israeli employers</w:t>
      </w:r>
      <w:r w:rsidR="002367D5">
        <w:rPr>
          <w:lang w:eastAsia="en-GB"/>
        </w:rPr>
        <w:t>.</w:t>
      </w:r>
      <w:r w:rsidRPr="00754D0A">
        <w:rPr>
          <w:sz w:val="18"/>
          <w:vertAlign w:val="superscript"/>
          <w:lang w:eastAsia="en-GB"/>
        </w:rPr>
        <w:footnoteReference w:id="86"/>
      </w:r>
    </w:p>
    <w:p w:rsidR="00C05D53" w:rsidRPr="009C6E82" w:rsidRDefault="00C05D53" w:rsidP="002367D5">
      <w:pPr>
        <w:pStyle w:val="SingleTxtG"/>
        <w:numPr>
          <w:ilvl w:val="0"/>
          <w:numId w:val="10"/>
        </w:numPr>
        <w:ind w:left="1134" w:firstLine="0"/>
        <w:rPr>
          <w:lang w:eastAsia="en-GB"/>
        </w:rPr>
      </w:pPr>
      <w:r>
        <w:rPr>
          <w:lang w:eastAsia="en-GB"/>
        </w:rPr>
        <w:t>Article</w:t>
      </w:r>
      <w:r w:rsidR="002367D5">
        <w:rPr>
          <w:lang w:eastAsia="en-GB"/>
        </w:rPr>
        <w:t> </w:t>
      </w:r>
      <w:r>
        <w:rPr>
          <w:lang w:eastAsia="en-GB"/>
        </w:rPr>
        <w:t>2</w:t>
      </w:r>
      <w:r w:rsidRPr="00A825D6">
        <w:rPr>
          <w:lang w:eastAsia="en-GB"/>
        </w:rPr>
        <w:t xml:space="preserve">(f) </w:t>
      </w:r>
      <w:r>
        <w:rPr>
          <w:lang w:eastAsia="en-GB"/>
        </w:rPr>
        <w:t>concerns persecution</w:t>
      </w:r>
      <w:r w:rsidRPr="00A825D6">
        <w:rPr>
          <w:lang w:eastAsia="en-GB"/>
        </w:rPr>
        <w:t xml:space="preserve"> of </w:t>
      </w:r>
      <w:r>
        <w:rPr>
          <w:lang w:eastAsia="en-GB"/>
        </w:rPr>
        <w:t>those who</w:t>
      </w:r>
      <w:r w:rsidRPr="00A825D6">
        <w:rPr>
          <w:lang w:eastAsia="en-GB"/>
        </w:rPr>
        <w:t xml:space="preserve"> oppose apartheid.</w:t>
      </w:r>
      <w:r w:rsidR="008F4E44">
        <w:rPr>
          <w:lang w:eastAsia="en-GB"/>
        </w:rPr>
        <w:t xml:space="preserve"> </w:t>
      </w:r>
      <w:r w:rsidRPr="00856AF2">
        <w:rPr>
          <w:lang w:eastAsia="en-GB"/>
        </w:rPr>
        <w:t xml:space="preserve">This provision potentially </w:t>
      </w:r>
      <w:r>
        <w:rPr>
          <w:lang w:eastAsia="en-GB"/>
        </w:rPr>
        <w:t xml:space="preserve">relates to </w:t>
      </w:r>
      <w:r w:rsidRPr="00856AF2">
        <w:rPr>
          <w:lang w:eastAsia="en-GB"/>
        </w:rPr>
        <w:t xml:space="preserve">a wide range of human rights violations against Palestinians in the </w:t>
      </w:r>
      <w:smartTag w:uri="urn:schemas-microsoft-com:office:smarttags" w:element="PlaceName">
        <w:r w:rsidR="00F60D12" w:rsidRPr="00856AF2">
          <w:rPr>
            <w:lang w:eastAsia="en-GB"/>
          </w:rPr>
          <w:t>O</w:t>
        </w:r>
        <w:r w:rsidR="00F60D12">
          <w:rPr>
            <w:lang w:eastAsia="en-GB"/>
          </w:rPr>
          <w:t>ccupied</w:t>
        </w:r>
      </w:smartTag>
      <w:r w:rsidR="00F60D12">
        <w:rPr>
          <w:lang w:eastAsia="en-GB"/>
        </w:rPr>
        <w:t xml:space="preserve"> </w:t>
      </w:r>
      <w:smartTag w:uri="urn:schemas-microsoft-com:office:smarttags" w:element="PlaceName">
        <w:r w:rsidR="00F60D12">
          <w:rPr>
            <w:lang w:eastAsia="en-GB"/>
          </w:rPr>
          <w:t>Palestinian</w:t>
        </w:r>
      </w:smartTag>
      <w:r w:rsidR="00F60D12">
        <w:rPr>
          <w:lang w:eastAsia="en-GB"/>
        </w:rPr>
        <w:t xml:space="preserve"> </w:t>
      </w:r>
      <w:smartTag w:uri="urn:schemas-microsoft-com:office:smarttags" w:element="PlaceType">
        <w:r w:rsidR="00F60D12">
          <w:rPr>
            <w:lang w:eastAsia="en-GB"/>
          </w:rPr>
          <w:t>Territory</w:t>
        </w:r>
      </w:smartTag>
      <w:r w:rsidRPr="00856AF2">
        <w:rPr>
          <w:lang w:eastAsia="en-GB"/>
        </w:rPr>
        <w:t xml:space="preserve">, who as a people desire self-determination and oppose the segregation, restrictions and discriminatory regime imposed by </w:t>
      </w:r>
      <w:smartTag w:uri="urn:schemas-microsoft-com:office:smarttags" w:element="country-region">
        <w:smartTag w:uri="urn:schemas-microsoft-com:office:smarttags" w:element="place">
          <w:r w:rsidRPr="00856AF2">
            <w:rPr>
              <w:lang w:eastAsia="en-GB"/>
            </w:rPr>
            <w:t>Israel</w:t>
          </w:r>
        </w:smartTag>
      </w:smartTag>
      <w:r w:rsidRPr="00856AF2">
        <w:rPr>
          <w:lang w:eastAsia="en-GB"/>
        </w:rPr>
        <w:t xml:space="preserve"> on them. In this sense, the punitive response often meted out to those who demonstrate against the wall and its associated regime, or more</w:t>
      </w:r>
      <w:r w:rsidR="008743D7">
        <w:rPr>
          <w:lang w:eastAsia="en-GB"/>
        </w:rPr>
        <w:t xml:space="preserve"> generally</w:t>
      </w:r>
      <w:r w:rsidRPr="00856AF2">
        <w:rPr>
          <w:lang w:eastAsia="en-GB"/>
        </w:rPr>
        <w:t xml:space="preserve"> </w:t>
      </w:r>
      <w:r>
        <w:rPr>
          <w:lang w:eastAsia="en-GB"/>
        </w:rPr>
        <w:t>oppose</w:t>
      </w:r>
      <w:r w:rsidRPr="00856AF2">
        <w:rPr>
          <w:lang w:eastAsia="en-GB"/>
        </w:rPr>
        <w:t xml:space="preserve"> Israeli violations of human rights, </w:t>
      </w:r>
      <w:r>
        <w:rPr>
          <w:lang w:eastAsia="en-GB"/>
        </w:rPr>
        <w:t>arguably</w:t>
      </w:r>
      <w:r w:rsidRPr="00856AF2">
        <w:rPr>
          <w:lang w:eastAsia="en-GB"/>
        </w:rPr>
        <w:t xml:space="preserve"> fall under this provision. </w:t>
      </w:r>
    </w:p>
    <w:p w:rsidR="00C05D53" w:rsidRPr="009C6E82" w:rsidRDefault="00C05D53" w:rsidP="002367D5">
      <w:pPr>
        <w:pStyle w:val="SingleTxtG"/>
        <w:numPr>
          <w:ilvl w:val="0"/>
          <w:numId w:val="10"/>
        </w:numPr>
        <w:ind w:left="1134" w:firstLine="0"/>
        <w:rPr>
          <w:lang w:eastAsia="en-GB"/>
        </w:rPr>
      </w:pPr>
      <w:r w:rsidRPr="00856AF2">
        <w:rPr>
          <w:lang w:eastAsia="en-GB"/>
        </w:rPr>
        <w:t xml:space="preserve">An individual case in point </w:t>
      </w:r>
      <w:r>
        <w:rPr>
          <w:lang w:eastAsia="en-GB"/>
        </w:rPr>
        <w:t>concerns</w:t>
      </w:r>
      <w:r w:rsidRPr="00856AF2">
        <w:rPr>
          <w:lang w:eastAsia="en-GB"/>
        </w:rPr>
        <w:t xml:space="preserve"> the Palestinian human rights defender </w:t>
      </w:r>
      <w:r w:rsidR="00F60D12" w:rsidRPr="00856AF2">
        <w:rPr>
          <w:lang w:eastAsia="en-GB"/>
        </w:rPr>
        <w:t>Issa Amro</w:t>
      </w:r>
      <w:r w:rsidR="00F60D12">
        <w:rPr>
          <w:lang w:eastAsia="en-GB"/>
        </w:rPr>
        <w:t>, who is</w:t>
      </w:r>
      <w:r w:rsidR="00F60D12" w:rsidRPr="00856AF2">
        <w:rPr>
          <w:lang w:eastAsia="en-GB"/>
        </w:rPr>
        <w:t xml:space="preserve"> </w:t>
      </w:r>
      <w:r w:rsidRPr="00856AF2">
        <w:rPr>
          <w:lang w:eastAsia="en-GB"/>
        </w:rPr>
        <w:t xml:space="preserve">a founder of </w:t>
      </w:r>
      <w:r w:rsidR="00F60D12">
        <w:rPr>
          <w:lang w:eastAsia="en-GB"/>
        </w:rPr>
        <w:t>the NGOs</w:t>
      </w:r>
      <w:r w:rsidRPr="00856AF2">
        <w:rPr>
          <w:lang w:eastAsia="en-GB"/>
        </w:rPr>
        <w:t xml:space="preserve"> Youth Against Settlements and Hebron Defenders. In 2012, Mr.</w:t>
      </w:r>
      <w:r w:rsidR="002367D5">
        <w:rPr>
          <w:lang w:eastAsia="en-GB"/>
        </w:rPr>
        <w:t> </w:t>
      </w:r>
      <w:r w:rsidRPr="00856AF2">
        <w:rPr>
          <w:lang w:eastAsia="en-GB"/>
        </w:rPr>
        <w:t>Amro was arrested and detained 20 times without charge</w:t>
      </w:r>
      <w:r w:rsidR="002367D5">
        <w:rPr>
          <w:lang w:eastAsia="en-GB"/>
        </w:rPr>
        <w:t>.</w:t>
      </w:r>
      <w:r w:rsidRPr="00754D0A">
        <w:rPr>
          <w:sz w:val="18"/>
          <w:vertAlign w:val="superscript"/>
          <w:lang w:eastAsia="en-GB"/>
        </w:rPr>
        <w:footnoteReference w:id="87"/>
      </w:r>
      <w:r w:rsidRPr="00856AF2">
        <w:rPr>
          <w:lang w:eastAsia="en-GB"/>
        </w:rPr>
        <w:t xml:space="preserve"> At the time of writing, he had been detained multiple times in 2013 and had been hospitali</w:t>
      </w:r>
      <w:r w:rsidR="00816CBD">
        <w:rPr>
          <w:lang w:eastAsia="en-GB"/>
        </w:rPr>
        <w:t>z</w:t>
      </w:r>
      <w:r w:rsidRPr="00856AF2">
        <w:rPr>
          <w:lang w:eastAsia="en-GB"/>
        </w:rPr>
        <w:t xml:space="preserve">ed, allegedly following a beating by ISF while in detention. In August 2013, a number of </w:t>
      </w:r>
      <w:r w:rsidR="00816CBD">
        <w:rPr>
          <w:lang w:eastAsia="en-GB"/>
        </w:rPr>
        <w:t>s</w:t>
      </w:r>
      <w:r w:rsidRPr="00856AF2">
        <w:rPr>
          <w:lang w:eastAsia="en-GB"/>
        </w:rPr>
        <w:t xml:space="preserve">pecial </w:t>
      </w:r>
      <w:r w:rsidR="00816CBD">
        <w:rPr>
          <w:lang w:eastAsia="en-GB"/>
        </w:rPr>
        <w:t>r</w:t>
      </w:r>
      <w:r w:rsidRPr="00856AF2">
        <w:rPr>
          <w:lang w:eastAsia="en-GB"/>
        </w:rPr>
        <w:t>apporteurs, including this Special Rapporteur, expressed deep concern at the alleged ongoing judicial harassment, intimidation and abusive treatment of him. A</w:t>
      </w:r>
      <w:r>
        <w:rPr>
          <w:lang w:eastAsia="en-GB"/>
        </w:rPr>
        <w:t xml:space="preserve">ccording to the </w:t>
      </w:r>
      <w:r w:rsidRPr="00856AF2">
        <w:rPr>
          <w:lang w:eastAsia="en-GB"/>
        </w:rPr>
        <w:t xml:space="preserve">Special Rapporteur on the situation of </w:t>
      </w:r>
      <w:r w:rsidR="00816CBD">
        <w:rPr>
          <w:lang w:eastAsia="en-GB"/>
        </w:rPr>
        <w:t>h</w:t>
      </w:r>
      <w:r w:rsidRPr="00856AF2">
        <w:rPr>
          <w:lang w:eastAsia="en-GB"/>
        </w:rPr>
        <w:t xml:space="preserve">uman </w:t>
      </w:r>
      <w:r w:rsidR="00816CBD">
        <w:rPr>
          <w:lang w:eastAsia="en-GB"/>
        </w:rPr>
        <w:t>r</w:t>
      </w:r>
      <w:r w:rsidRPr="00856AF2">
        <w:rPr>
          <w:lang w:eastAsia="en-GB"/>
        </w:rPr>
        <w:t xml:space="preserve">ights </w:t>
      </w:r>
      <w:r w:rsidR="00816CBD">
        <w:rPr>
          <w:lang w:eastAsia="en-GB"/>
        </w:rPr>
        <w:t>d</w:t>
      </w:r>
      <w:r w:rsidRPr="00856AF2">
        <w:rPr>
          <w:lang w:eastAsia="en-GB"/>
        </w:rPr>
        <w:t>efenders</w:t>
      </w:r>
      <w:r>
        <w:rPr>
          <w:lang w:eastAsia="en-GB"/>
        </w:rPr>
        <w:t>:</w:t>
      </w:r>
      <w:r w:rsidRPr="00856AF2">
        <w:rPr>
          <w:lang w:eastAsia="en-GB"/>
        </w:rPr>
        <w:t xml:space="preserve"> “This is an unacceptable campaign of harassment, intimidation and reprisals against Mr.</w:t>
      </w:r>
      <w:r w:rsidR="002367D5">
        <w:rPr>
          <w:lang w:eastAsia="en-GB"/>
        </w:rPr>
        <w:t> </w:t>
      </w:r>
      <w:r w:rsidRPr="00856AF2">
        <w:rPr>
          <w:lang w:eastAsia="en-GB"/>
        </w:rPr>
        <w:t xml:space="preserve">Amro, and other human </w:t>
      </w:r>
      <w:r w:rsidRPr="00856AF2">
        <w:rPr>
          <w:lang w:eastAsia="en-GB"/>
        </w:rPr>
        <w:lastRenderedPageBreak/>
        <w:t xml:space="preserve">rights defenders who peacefully advocate for the rights of Palestinians in the West Bank, including by cooperating with </w:t>
      </w:r>
      <w:r w:rsidR="0064218B">
        <w:rPr>
          <w:lang w:eastAsia="en-GB"/>
        </w:rPr>
        <w:t>[United Nations]</w:t>
      </w:r>
      <w:r w:rsidRPr="00856AF2">
        <w:rPr>
          <w:lang w:eastAsia="en-GB"/>
        </w:rPr>
        <w:t xml:space="preserve"> human rights bodies</w:t>
      </w:r>
      <w:r w:rsidR="002367D5">
        <w:rPr>
          <w:lang w:eastAsia="en-GB"/>
        </w:rPr>
        <w:t>.</w:t>
      </w:r>
      <w:r w:rsidRPr="00856AF2">
        <w:rPr>
          <w:lang w:eastAsia="en-GB"/>
        </w:rPr>
        <w:t>”</w:t>
      </w:r>
      <w:r w:rsidR="00816CBD">
        <w:rPr>
          <w:rStyle w:val="FootnoteReference"/>
          <w:lang w:eastAsia="en-GB"/>
        </w:rPr>
        <w:footnoteReference w:id="88"/>
      </w:r>
    </w:p>
    <w:p w:rsidR="00C05D53" w:rsidRPr="009C6E82" w:rsidRDefault="00C05D53" w:rsidP="002367D5">
      <w:pPr>
        <w:pStyle w:val="SingleTxtG"/>
        <w:numPr>
          <w:ilvl w:val="0"/>
          <w:numId w:val="10"/>
        </w:numPr>
        <w:ind w:left="1134" w:firstLine="0"/>
        <w:rPr>
          <w:lang w:eastAsia="en-GB"/>
        </w:rPr>
      </w:pPr>
      <w:r w:rsidRPr="00856AF2">
        <w:rPr>
          <w:lang w:eastAsia="en-GB"/>
        </w:rPr>
        <w:t xml:space="preserve">An example of an Israeli citizen, belonging to the Druze minority, who has reportedly been imprisoned for his conscientious objection to serving in the </w:t>
      </w:r>
      <w:r w:rsidRPr="001F5515">
        <w:rPr>
          <w:lang w:eastAsia="en-GB"/>
        </w:rPr>
        <w:t xml:space="preserve">Israeli </w:t>
      </w:r>
      <w:r w:rsidR="001F5515">
        <w:rPr>
          <w:lang w:eastAsia="en-GB"/>
        </w:rPr>
        <w:t>a</w:t>
      </w:r>
      <w:r w:rsidRPr="001F5515">
        <w:rPr>
          <w:lang w:eastAsia="en-GB"/>
        </w:rPr>
        <w:t>rmy</w:t>
      </w:r>
      <w:r w:rsidRPr="00856AF2">
        <w:rPr>
          <w:lang w:eastAsia="en-GB"/>
        </w:rPr>
        <w:t xml:space="preserve"> is Omar Saad</w:t>
      </w:r>
      <w:r>
        <w:rPr>
          <w:lang w:eastAsia="en-GB"/>
        </w:rPr>
        <w:t>.</w:t>
      </w:r>
      <w:r w:rsidRPr="00856AF2">
        <w:rPr>
          <w:lang w:eastAsia="en-GB"/>
        </w:rPr>
        <w:t xml:space="preserve"> </w:t>
      </w:r>
      <w:r>
        <w:rPr>
          <w:lang w:eastAsia="en-GB"/>
        </w:rPr>
        <w:t>In</w:t>
      </w:r>
      <w:r w:rsidRPr="00856AF2">
        <w:rPr>
          <w:lang w:eastAsia="en-GB"/>
        </w:rPr>
        <w:t xml:space="preserve"> an open letter to the Prime Minister and Minister of Defen</w:t>
      </w:r>
      <w:r w:rsidR="00816CBD">
        <w:rPr>
          <w:lang w:eastAsia="en-GB"/>
        </w:rPr>
        <w:t>s</w:t>
      </w:r>
      <w:r w:rsidRPr="00856AF2">
        <w:rPr>
          <w:lang w:eastAsia="en-GB"/>
        </w:rPr>
        <w:t xml:space="preserve">e </w:t>
      </w:r>
      <w:r>
        <w:rPr>
          <w:lang w:eastAsia="en-GB"/>
        </w:rPr>
        <w:t xml:space="preserve">he </w:t>
      </w:r>
      <w:r w:rsidRPr="00856AF2">
        <w:rPr>
          <w:lang w:eastAsia="en-GB"/>
        </w:rPr>
        <w:t>explain</w:t>
      </w:r>
      <w:r>
        <w:rPr>
          <w:lang w:eastAsia="en-GB"/>
        </w:rPr>
        <w:t>ed</w:t>
      </w:r>
      <w:r w:rsidRPr="00856AF2">
        <w:rPr>
          <w:lang w:eastAsia="en-GB"/>
        </w:rPr>
        <w:t>: “</w:t>
      </w:r>
      <w:r w:rsidRPr="009C6E82">
        <w:rPr>
          <w:lang w:eastAsia="en-GB"/>
        </w:rPr>
        <w:t>I couldn’t imagine myself wearing military uniform and participating in the suppression of my Palestinian people</w:t>
      </w:r>
      <w:r w:rsidRPr="00856AF2">
        <w:rPr>
          <w:lang w:eastAsia="en-GB"/>
        </w:rPr>
        <w:t>”</w:t>
      </w:r>
      <w:r w:rsidR="00941D2D">
        <w:rPr>
          <w:lang w:eastAsia="en-GB"/>
        </w:rPr>
        <w:t>.</w:t>
      </w:r>
      <w:r w:rsidRPr="00856AF2">
        <w:rPr>
          <w:lang w:eastAsia="en-GB"/>
        </w:rPr>
        <w:t xml:space="preserve"> </w:t>
      </w:r>
      <w:r w:rsidR="00941D2D">
        <w:rPr>
          <w:lang w:eastAsia="en-GB"/>
        </w:rPr>
        <w:t>He</w:t>
      </w:r>
      <w:r w:rsidR="00941D2D" w:rsidRPr="00856AF2">
        <w:rPr>
          <w:lang w:eastAsia="en-GB"/>
        </w:rPr>
        <w:t xml:space="preserve"> ask</w:t>
      </w:r>
      <w:r w:rsidR="00941D2D">
        <w:rPr>
          <w:lang w:eastAsia="en-GB"/>
        </w:rPr>
        <w:t>ed:</w:t>
      </w:r>
      <w:r w:rsidR="00941D2D" w:rsidRPr="00856AF2">
        <w:rPr>
          <w:lang w:eastAsia="en-GB"/>
        </w:rPr>
        <w:t xml:space="preserve"> </w:t>
      </w:r>
      <w:r w:rsidRPr="00856AF2">
        <w:rPr>
          <w:lang w:eastAsia="en-GB"/>
        </w:rPr>
        <w:t>“</w:t>
      </w:r>
      <w:r w:rsidRPr="009C6E82">
        <w:rPr>
          <w:lang w:eastAsia="en-GB"/>
        </w:rPr>
        <w:t xml:space="preserve">How can I be a soldier standing at Qalandia checkpoint or any other checkpoint, after I experienced the injustices at these checkpoints? How can I prevent someone from Ramallah to visit his city, </w:t>
      </w:r>
      <w:smartTag w:uri="urn:schemas-microsoft-com:office:smarttags" w:element="place">
        <w:smartTag w:uri="urn:schemas-microsoft-com:office:smarttags" w:element="City">
          <w:r w:rsidRPr="009C6E82">
            <w:rPr>
              <w:lang w:eastAsia="en-GB"/>
            </w:rPr>
            <w:t>Jerusalem</w:t>
          </w:r>
        </w:smartTag>
      </w:smartTag>
      <w:r w:rsidRPr="009C6E82">
        <w:rPr>
          <w:lang w:eastAsia="en-GB"/>
        </w:rPr>
        <w:t>? How can I guard the apartheid wall? How can I be a jailer to my own people while I know that the majority of prisoners are freedom prisoners and seekers of rights and freedom?”</w:t>
      </w:r>
      <w:r w:rsidRPr="00754D0A">
        <w:rPr>
          <w:sz w:val="18"/>
          <w:vertAlign w:val="superscript"/>
          <w:lang w:eastAsia="en-GB"/>
        </w:rPr>
        <w:footnoteReference w:id="89"/>
      </w:r>
    </w:p>
    <w:p w:rsidR="00C05D53" w:rsidRPr="009C6E82" w:rsidRDefault="00C05D53" w:rsidP="00C05D53">
      <w:pPr>
        <w:pStyle w:val="SingleTxtG"/>
        <w:numPr>
          <w:ilvl w:val="0"/>
          <w:numId w:val="10"/>
        </w:numPr>
        <w:ind w:left="1134" w:firstLine="0"/>
        <w:rPr>
          <w:lang w:eastAsia="en-GB"/>
        </w:rPr>
      </w:pPr>
      <w:r w:rsidRPr="00856AF2">
        <w:rPr>
          <w:lang w:eastAsia="en-GB"/>
        </w:rPr>
        <w:t xml:space="preserve">It is strongly arguable that those who oppose Israeli </w:t>
      </w:r>
      <w:r>
        <w:rPr>
          <w:lang w:eastAsia="en-GB"/>
        </w:rPr>
        <w:t>measures</w:t>
      </w:r>
      <w:r w:rsidRPr="00856AF2">
        <w:rPr>
          <w:lang w:eastAsia="en-GB"/>
        </w:rPr>
        <w:t xml:space="preserve"> amounting to apartheid risk persecution because of their opposition.</w:t>
      </w:r>
    </w:p>
    <w:p w:rsidR="00C05D53" w:rsidRPr="009C6E82" w:rsidRDefault="00C05D53" w:rsidP="00B577E3">
      <w:pPr>
        <w:pStyle w:val="H23G"/>
        <w:rPr>
          <w:lang w:eastAsia="en-GB"/>
        </w:rPr>
      </w:pPr>
      <w:r>
        <w:rPr>
          <w:lang w:eastAsia="en-GB"/>
        </w:rPr>
        <w:tab/>
      </w:r>
      <w:r>
        <w:rPr>
          <w:lang w:eastAsia="en-GB"/>
        </w:rPr>
        <w:tab/>
      </w:r>
      <w:r w:rsidRPr="009C6E82">
        <w:rPr>
          <w:lang w:eastAsia="en-GB"/>
        </w:rPr>
        <w:t>Systematic oppression</w:t>
      </w:r>
    </w:p>
    <w:p w:rsidR="00C05D53" w:rsidRPr="009C6E82" w:rsidRDefault="00C05D53" w:rsidP="00C05D53">
      <w:pPr>
        <w:pStyle w:val="SingleTxtG"/>
        <w:numPr>
          <w:ilvl w:val="0"/>
          <w:numId w:val="10"/>
        </w:numPr>
        <w:ind w:left="1134" w:firstLine="0"/>
        <w:rPr>
          <w:lang w:eastAsia="en-GB"/>
        </w:rPr>
      </w:pPr>
      <w:r w:rsidRPr="00856AF2">
        <w:rPr>
          <w:lang w:eastAsia="en-GB"/>
        </w:rPr>
        <w:t xml:space="preserve">None of the human rights violations discussed in the context of possibly constituting “inhuman acts” for the purpose of the </w:t>
      </w:r>
      <w:r w:rsidR="001617D3" w:rsidRPr="00856AF2">
        <w:rPr>
          <w:lang w:eastAsia="en-GB"/>
        </w:rPr>
        <w:t>International Convention on the Suppression and Punishment of the Crime of Apartheid</w:t>
      </w:r>
      <w:r w:rsidRPr="00856AF2">
        <w:rPr>
          <w:lang w:eastAsia="en-GB"/>
        </w:rPr>
        <w:t xml:space="preserve"> </w:t>
      </w:r>
      <w:r>
        <w:rPr>
          <w:lang w:eastAsia="en-GB"/>
        </w:rPr>
        <w:t xml:space="preserve">or the Rome Statute </w:t>
      </w:r>
      <w:r w:rsidRPr="00856AF2">
        <w:rPr>
          <w:lang w:eastAsia="en-GB"/>
        </w:rPr>
        <w:t xml:space="preserve">can be said to be isolated events. Rather, their commission </w:t>
      </w:r>
      <w:r>
        <w:rPr>
          <w:lang w:eastAsia="en-GB"/>
        </w:rPr>
        <w:t>reflects</w:t>
      </w:r>
      <w:r w:rsidRPr="00856AF2">
        <w:rPr>
          <w:lang w:eastAsia="en-GB"/>
        </w:rPr>
        <w:t xml:space="preserve"> </w:t>
      </w:r>
      <w:r>
        <w:rPr>
          <w:lang w:eastAsia="en-GB"/>
        </w:rPr>
        <w:t>systematic</w:t>
      </w:r>
      <w:r w:rsidRPr="00856AF2">
        <w:rPr>
          <w:lang w:eastAsia="en-GB"/>
        </w:rPr>
        <w:t xml:space="preserve"> </w:t>
      </w:r>
      <w:r>
        <w:rPr>
          <w:lang w:eastAsia="en-GB"/>
        </w:rPr>
        <w:t xml:space="preserve">and discriminatory </w:t>
      </w:r>
      <w:r w:rsidRPr="00856AF2">
        <w:rPr>
          <w:lang w:eastAsia="en-GB"/>
        </w:rPr>
        <w:t>Israeli policies, laws and practices, which determine where in the occupied land Palestinians may or may not travel, live and work. Laws and policies have also institutionali</w:t>
      </w:r>
      <w:r w:rsidR="00B422F5">
        <w:rPr>
          <w:lang w:eastAsia="en-GB"/>
        </w:rPr>
        <w:t>z</w:t>
      </w:r>
      <w:r w:rsidRPr="00856AF2">
        <w:rPr>
          <w:lang w:eastAsia="en-GB"/>
        </w:rPr>
        <w:t>ed just how lightly a civilian Palestinian life may be weighed, when placed on the scales against claims of overarching security concerns</w:t>
      </w:r>
      <w:r>
        <w:rPr>
          <w:lang w:eastAsia="en-GB"/>
        </w:rPr>
        <w:t>, contrasting with the legal protection of the Israeli constitutional system given to unlawful Israeli settlers</w:t>
      </w:r>
      <w:r w:rsidRPr="00856AF2">
        <w:rPr>
          <w:lang w:eastAsia="en-GB"/>
        </w:rPr>
        <w:t>. The combined effect of the measures designed to ensure security for Israeli citizens</w:t>
      </w:r>
      <w:r w:rsidR="00B422F5">
        <w:rPr>
          <w:lang w:eastAsia="en-GB"/>
        </w:rPr>
        <w:t>,</w:t>
      </w:r>
      <w:r w:rsidRPr="00856AF2">
        <w:rPr>
          <w:lang w:eastAsia="en-GB"/>
        </w:rPr>
        <w:t xml:space="preserve"> to facilitate and expand settlements</w:t>
      </w:r>
      <w:r w:rsidR="00B422F5">
        <w:rPr>
          <w:lang w:eastAsia="en-GB"/>
        </w:rPr>
        <w:t>,</w:t>
      </w:r>
      <w:r w:rsidRPr="00856AF2">
        <w:rPr>
          <w:lang w:eastAsia="en-GB"/>
        </w:rPr>
        <w:t xml:space="preserve"> and</w:t>
      </w:r>
      <w:r w:rsidR="00B422F5">
        <w:rPr>
          <w:lang w:eastAsia="en-GB"/>
        </w:rPr>
        <w:t>,</w:t>
      </w:r>
      <w:r w:rsidRPr="00856AF2">
        <w:rPr>
          <w:lang w:eastAsia="en-GB"/>
        </w:rPr>
        <w:t xml:space="preserve"> it would appear, to annex land, is </w:t>
      </w:r>
      <w:r w:rsidRPr="00360FE6">
        <w:rPr>
          <w:i/>
          <w:lang w:eastAsia="en-GB"/>
        </w:rPr>
        <w:t>hafrada</w:t>
      </w:r>
      <w:r w:rsidRPr="00856AF2">
        <w:rPr>
          <w:lang w:eastAsia="en-GB"/>
        </w:rPr>
        <w:t xml:space="preserve">, discrimination and systematic oppression of, and domination over, the Palestinian people. </w:t>
      </w:r>
    </w:p>
    <w:p w:rsidR="00C05D53" w:rsidRPr="007F5C54" w:rsidRDefault="007F5C54" w:rsidP="007F5C54">
      <w:pPr>
        <w:pStyle w:val="HChG"/>
      </w:pPr>
      <w:r>
        <w:tab/>
        <w:t>VI.</w:t>
      </w:r>
      <w:r>
        <w:tab/>
      </w:r>
      <w:r w:rsidR="00C05D53" w:rsidRPr="007F5C54">
        <w:t xml:space="preserve">Concluding </w:t>
      </w:r>
      <w:r w:rsidR="007A5EF3">
        <w:t>remarks</w:t>
      </w:r>
    </w:p>
    <w:p w:rsidR="00C05D53" w:rsidRPr="00BE585A" w:rsidRDefault="00C05D53" w:rsidP="002367D5">
      <w:pPr>
        <w:pStyle w:val="SingleTxtG"/>
        <w:numPr>
          <w:ilvl w:val="0"/>
          <w:numId w:val="10"/>
        </w:numPr>
        <w:ind w:left="1134" w:firstLine="0"/>
        <w:rPr>
          <w:lang w:eastAsia="en-GB"/>
        </w:rPr>
      </w:pPr>
      <w:r w:rsidRPr="00BE585A">
        <w:rPr>
          <w:lang w:eastAsia="en-GB"/>
        </w:rPr>
        <w:t>Through prolonged occupation</w:t>
      </w:r>
      <w:r>
        <w:rPr>
          <w:lang w:eastAsia="en-GB"/>
        </w:rPr>
        <w:t>,</w:t>
      </w:r>
      <w:r w:rsidRPr="00BE585A">
        <w:rPr>
          <w:lang w:eastAsia="en-GB"/>
        </w:rPr>
        <w:t xml:space="preserve"> with practices and policies </w:t>
      </w:r>
      <w:r w:rsidR="00ED6160">
        <w:rPr>
          <w:lang w:eastAsia="en-GB"/>
        </w:rPr>
        <w:t xml:space="preserve">which appear to constitute </w:t>
      </w:r>
      <w:r w:rsidRPr="00BE585A">
        <w:rPr>
          <w:lang w:eastAsia="en-GB"/>
        </w:rPr>
        <w:t xml:space="preserve">apartheid and segregation, ongoing expansion of settlements, and continual construction of the </w:t>
      </w:r>
      <w:r>
        <w:rPr>
          <w:lang w:eastAsia="en-GB"/>
        </w:rPr>
        <w:t>w</w:t>
      </w:r>
      <w:r w:rsidRPr="00BE585A">
        <w:rPr>
          <w:lang w:eastAsia="en-GB"/>
        </w:rPr>
        <w:t xml:space="preserve">all </w:t>
      </w:r>
      <w:r w:rsidRPr="00813C54">
        <w:rPr>
          <w:lang w:eastAsia="en-GB"/>
        </w:rPr>
        <w:t>arguably amounting</w:t>
      </w:r>
      <w:r w:rsidRPr="00BE585A">
        <w:rPr>
          <w:lang w:eastAsia="en-GB"/>
        </w:rPr>
        <w:t xml:space="preserve"> to de facto annexation of parts of the occupied Palestinian territory</w:t>
      </w:r>
      <w:r w:rsidR="00813C54">
        <w:rPr>
          <w:lang w:eastAsia="en-GB"/>
        </w:rPr>
        <w:t>,</w:t>
      </w:r>
      <w:r w:rsidRPr="00BE585A">
        <w:rPr>
          <w:lang w:eastAsia="en-GB"/>
        </w:rPr>
        <w:t xml:space="preserve"> the denial by </w:t>
      </w:r>
      <w:smartTag w:uri="urn:schemas-microsoft-com:office:smarttags" w:element="country-region">
        <w:smartTag w:uri="urn:schemas-microsoft-com:office:smarttags" w:element="place">
          <w:r w:rsidRPr="00BE585A">
            <w:rPr>
              <w:lang w:eastAsia="en-GB"/>
            </w:rPr>
            <w:t>Israel</w:t>
          </w:r>
        </w:smartTag>
      </w:smartTag>
      <w:r w:rsidRPr="00BE585A">
        <w:rPr>
          <w:lang w:eastAsia="en-GB"/>
        </w:rPr>
        <w:t xml:space="preserve"> of the right to self-determination of the Palestinian people is evident. The Draft Articles on Responsibility</w:t>
      </w:r>
      <w:r w:rsidR="008C02E0">
        <w:rPr>
          <w:lang w:eastAsia="en-GB"/>
        </w:rPr>
        <w:t xml:space="preserve"> of States for Internationally Wrongful Acts</w:t>
      </w:r>
      <w:r w:rsidRPr="00BE585A">
        <w:rPr>
          <w:lang w:eastAsia="en-GB"/>
        </w:rPr>
        <w:t xml:space="preserve"> provide guidance as to the consequences of serious breaches of peremptory norms under international law. In this respect there is authority</w:t>
      </w:r>
      <w:r w:rsidRPr="00BE585A">
        <w:rPr>
          <w:sz w:val="18"/>
          <w:vertAlign w:val="superscript"/>
          <w:lang w:eastAsia="en-GB"/>
        </w:rPr>
        <w:footnoteReference w:id="90"/>
      </w:r>
      <w:r w:rsidRPr="00BE585A">
        <w:rPr>
          <w:lang w:eastAsia="en-GB"/>
        </w:rPr>
        <w:t xml:space="preserve"> to suggest that the following prohibitions have attained the status of peremptory norms: </w:t>
      </w:r>
      <w:r w:rsidR="008C02E0">
        <w:rPr>
          <w:lang w:eastAsia="en-GB"/>
        </w:rPr>
        <w:t>a</w:t>
      </w:r>
      <w:r w:rsidRPr="00BE585A">
        <w:rPr>
          <w:lang w:eastAsia="en-GB"/>
        </w:rPr>
        <w:t>ggression through military occupation and imposition of military blockades on ports and coasts</w:t>
      </w:r>
      <w:r w:rsidR="002367D5">
        <w:rPr>
          <w:lang w:eastAsia="en-GB"/>
        </w:rPr>
        <w:t>,</w:t>
      </w:r>
      <w:r w:rsidRPr="00BE585A">
        <w:rPr>
          <w:sz w:val="18"/>
          <w:vertAlign w:val="superscript"/>
          <w:lang w:eastAsia="en-GB"/>
        </w:rPr>
        <w:footnoteReference w:id="91"/>
      </w:r>
      <w:r w:rsidRPr="00BE585A">
        <w:rPr>
          <w:lang w:eastAsia="en-GB"/>
        </w:rPr>
        <w:t xml:space="preserve"> racial discrimination and apartheid, and torture. In addition, the right to self-determination itself has been recogni</w:t>
      </w:r>
      <w:r w:rsidR="008C02E0">
        <w:rPr>
          <w:lang w:eastAsia="en-GB"/>
        </w:rPr>
        <w:t>z</w:t>
      </w:r>
      <w:r w:rsidRPr="00BE585A">
        <w:rPr>
          <w:lang w:eastAsia="en-GB"/>
        </w:rPr>
        <w:t>ed as a peremptory norm</w:t>
      </w:r>
      <w:r w:rsidR="008C02E0">
        <w:rPr>
          <w:lang w:eastAsia="en-GB"/>
        </w:rPr>
        <w:t xml:space="preserve"> </w:t>
      </w:r>
      <w:r w:rsidRPr="00BE585A">
        <w:rPr>
          <w:lang w:eastAsia="en-GB"/>
        </w:rPr>
        <w:t xml:space="preserve">which applies </w:t>
      </w:r>
      <w:r w:rsidRPr="00360FE6">
        <w:rPr>
          <w:i/>
          <w:lang w:eastAsia="en-GB"/>
        </w:rPr>
        <w:t>erga omnes</w:t>
      </w:r>
      <w:r w:rsidR="002367D5">
        <w:rPr>
          <w:lang w:eastAsia="en-GB"/>
        </w:rPr>
        <w:t>.</w:t>
      </w:r>
      <w:r w:rsidRPr="008C02E0">
        <w:rPr>
          <w:sz w:val="18"/>
          <w:vertAlign w:val="superscript"/>
          <w:lang w:eastAsia="en-GB"/>
        </w:rPr>
        <w:footnoteReference w:id="92"/>
      </w:r>
    </w:p>
    <w:p w:rsidR="00C05D53" w:rsidRPr="00281245" w:rsidRDefault="00C05D53" w:rsidP="002367D5">
      <w:pPr>
        <w:pStyle w:val="SingleTxtG"/>
        <w:numPr>
          <w:ilvl w:val="0"/>
          <w:numId w:val="10"/>
        </w:numPr>
        <w:ind w:left="1134" w:firstLine="0"/>
        <w:rPr>
          <w:lang w:eastAsia="en-GB"/>
        </w:rPr>
      </w:pPr>
      <w:r w:rsidRPr="00281245">
        <w:rPr>
          <w:lang w:eastAsia="en-GB"/>
        </w:rPr>
        <w:t>Under article</w:t>
      </w:r>
      <w:r w:rsidR="002367D5">
        <w:rPr>
          <w:lang w:eastAsia="en-GB"/>
        </w:rPr>
        <w:t> </w:t>
      </w:r>
      <w:r w:rsidRPr="00281245">
        <w:rPr>
          <w:lang w:eastAsia="en-GB"/>
        </w:rPr>
        <w:t>40</w:t>
      </w:r>
      <w:r w:rsidR="008C02E0">
        <w:rPr>
          <w:lang w:eastAsia="en-GB"/>
        </w:rPr>
        <w:t xml:space="preserve">, paragraph </w:t>
      </w:r>
      <w:r w:rsidRPr="00281245">
        <w:rPr>
          <w:lang w:eastAsia="en-GB"/>
        </w:rPr>
        <w:t>2</w:t>
      </w:r>
      <w:r w:rsidR="008C02E0">
        <w:rPr>
          <w:lang w:eastAsia="en-GB"/>
        </w:rPr>
        <w:t>,</w:t>
      </w:r>
      <w:r w:rsidRPr="00281245">
        <w:rPr>
          <w:lang w:eastAsia="en-GB"/>
        </w:rPr>
        <w:t xml:space="preserve"> of the Draft Articles</w:t>
      </w:r>
      <w:r>
        <w:rPr>
          <w:lang w:eastAsia="en-GB"/>
        </w:rPr>
        <w:t>,</w:t>
      </w:r>
      <w:r w:rsidRPr="00281245">
        <w:rPr>
          <w:lang w:eastAsia="en-GB"/>
        </w:rPr>
        <w:t xml:space="preserve"> for breaches of peremptory norms to be “serious” they must “involve a gross or systematic failure of the responsible </w:t>
      </w:r>
      <w:r w:rsidRPr="00281245">
        <w:rPr>
          <w:lang w:eastAsia="en-GB"/>
        </w:rPr>
        <w:lastRenderedPageBreak/>
        <w:t>State to fulfil the obligation”. Without prejudice to an authoritative determination of whether the breaches of the discussed peremptory norms qualify as “serious”, it is noted that the violations discussed in the context of the prolonged occupation appear deliberate, organi</w:t>
      </w:r>
      <w:r w:rsidR="008C02E0">
        <w:rPr>
          <w:lang w:eastAsia="en-GB"/>
        </w:rPr>
        <w:t>z</w:t>
      </w:r>
      <w:r w:rsidRPr="00281245">
        <w:rPr>
          <w:lang w:eastAsia="en-GB"/>
        </w:rPr>
        <w:t>ed, institutionali</w:t>
      </w:r>
      <w:r w:rsidR="008C02E0">
        <w:rPr>
          <w:lang w:eastAsia="en-GB"/>
        </w:rPr>
        <w:t>z</w:t>
      </w:r>
      <w:r w:rsidRPr="00281245">
        <w:rPr>
          <w:lang w:eastAsia="en-GB"/>
        </w:rPr>
        <w:t xml:space="preserve">ed and longstanding. </w:t>
      </w:r>
      <w:r w:rsidR="008C02E0">
        <w:rPr>
          <w:lang w:eastAsia="en-GB"/>
        </w:rPr>
        <w:t>In the</w:t>
      </w:r>
      <w:r w:rsidR="008C02E0" w:rsidRPr="00281245">
        <w:rPr>
          <w:lang w:eastAsia="en-GB"/>
        </w:rPr>
        <w:t xml:space="preserve"> </w:t>
      </w:r>
      <w:r w:rsidRPr="00281245">
        <w:rPr>
          <w:lang w:eastAsia="en-GB"/>
        </w:rPr>
        <w:t>commentary</w:t>
      </w:r>
      <w:r w:rsidR="008C02E0">
        <w:rPr>
          <w:lang w:eastAsia="en-GB"/>
        </w:rPr>
        <w:t>, the International Law Commission</w:t>
      </w:r>
      <w:r w:rsidRPr="00281245">
        <w:rPr>
          <w:lang w:eastAsia="en-GB"/>
        </w:rPr>
        <w:t xml:space="preserve"> considers it likely that competent international organizations, including the Security Council and the General Assembly</w:t>
      </w:r>
      <w:r w:rsidR="002317BE">
        <w:rPr>
          <w:lang w:eastAsia="en-GB"/>
        </w:rPr>
        <w:t xml:space="preserve"> will</w:t>
      </w:r>
      <w:r w:rsidRPr="00281245">
        <w:rPr>
          <w:lang w:eastAsia="en-GB"/>
        </w:rPr>
        <w:t xml:space="preserve"> address such serious breaches. The implications for Member States for serious breaches of this nature include an obligation to cooperate to bring an end to breaches</w:t>
      </w:r>
      <w:r w:rsidR="00813C54">
        <w:rPr>
          <w:lang w:eastAsia="en-GB"/>
        </w:rPr>
        <w:t>,</w:t>
      </w:r>
      <w:r w:rsidR="0040494C">
        <w:rPr>
          <w:lang w:eastAsia="en-GB"/>
        </w:rPr>
        <w:t xml:space="preserve"> </w:t>
      </w:r>
      <w:r w:rsidR="00813C54">
        <w:rPr>
          <w:lang w:eastAsia="en-GB"/>
        </w:rPr>
        <w:t>and</w:t>
      </w:r>
      <w:r w:rsidR="0040494C">
        <w:rPr>
          <w:lang w:eastAsia="en-GB"/>
        </w:rPr>
        <w:t xml:space="preserve"> an obligation not to</w:t>
      </w:r>
      <w:r w:rsidRPr="00281245">
        <w:rPr>
          <w:lang w:eastAsia="en-GB"/>
        </w:rPr>
        <w:t xml:space="preserve"> </w:t>
      </w:r>
      <w:r w:rsidR="0040494C">
        <w:rPr>
          <w:lang w:eastAsia="en-GB"/>
        </w:rPr>
        <w:t>recognize or</w:t>
      </w:r>
      <w:r w:rsidRPr="0040494C">
        <w:rPr>
          <w:lang w:eastAsia="en-GB"/>
        </w:rPr>
        <w:t xml:space="preserve"> maintain the illegal situation</w:t>
      </w:r>
      <w:r w:rsidR="002367D5" w:rsidRPr="0040494C">
        <w:rPr>
          <w:lang w:eastAsia="en-GB"/>
        </w:rPr>
        <w:t>.</w:t>
      </w:r>
      <w:r w:rsidRPr="00281245">
        <w:rPr>
          <w:sz w:val="18"/>
          <w:vertAlign w:val="superscript"/>
          <w:lang w:eastAsia="en-GB"/>
        </w:rPr>
        <w:footnoteReference w:id="93"/>
      </w:r>
    </w:p>
    <w:p w:rsidR="00C05D53" w:rsidRPr="00281245" w:rsidRDefault="00C05D53" w:rsidP="002367D5">
      <w:pPr>
        <w:pStyle w:val="SingleTxtG"/>
        <w:numPr>
          <w:ilvl w:val="0"/>
          <w:numId w:val="10"/>
        </w:numPr>
        <w:ind w:left="1134" w:firstLine="0"/>
        <w:rPr>
          <w:lang w:eastAsia="en-GB"/>
        </w:rPr>
      </w:pPr>
      <w:r w:rsidRPr="00281245">
        <w:rPr>
          <w:lang w:eastAsia="en-GB"/>
        </w:rPr>
        <w:t>Finally, from the point of view of international criminal law, with the General Assembly</w:t>
      </w:r>
      <w:r>
        <w:rPr>
          <w:lang w:eastAsia="en-GB"/>
        </w:rPr>
        <w:t xml:space="preserve">’s </w:t>
      </w:r>
      <w:r w:rsidRPr="00281245">
        <w:rPr>
          <w:lang w:eastAsia="en-GB"/>
        </w:rPr>
        <w:t xml:space="preserve">recognition of Palestinian statehood, the </w:t>
      </w:r>
      <w:r>
        <w:rPr>
          <w:lang w:eastAsia="en-GB"/>
        </w:rPr>
        <w:t>opportunity for</w:t>
      </w:r>
      <w:r w:rsidRPr="00281245">
        <w:rPr>
          <w:lang w:eastAsia="en-GB"/>
        </w:rPr>
        <w:t xml:space="preserve"> </w:t>
      </w:r>
      <w:smartTag w:uri="urn:schemas-microsoft-com:office:smarttags" w:element="City">
        <w:smartTag w:uri="urn:schemas-microsoft-com:office:smarttags" w:element="place">
          <w:r w:rsidRPr="00281245">
            <w:rPr>
              <w:lang w:eastAsia="en-GB"/>
            </w:rPr>
            <w:t>Palestine</w:t>
          </w:r>
        </w:smartTag>
      </w:smartTag>
      <w:r w:rsidRPr="00281245">
        <w:rPr>
          <w:lang w:eastAsia="en-GB"/>
        </w:rPr>
        <w:t xml:space="preserve"> </w:t>
      </w:r>
      <w:r>
        <w:rPr>
          <w:lang w:eastAsia="en-GB"/>
        </w:rPr>
        <w:t xml:space="preserve">to </w:t>
      </w:r>
      <w:r w:rsidRPr="00281245">
        <w:rPr>
          <w:lang w:eastAsia="en-GB"/>
        </w:rPr>
        <w:t xml:space="preserve">accept the jurisdiction of the </w:t>
      </w:r>
      <w:r w:rsidR="00DF5443">
        <w:rPr>
          <w:lang w:eastAsia="en-GB"/>
        </w:rPr>
        <w:t>International Criminal Court</w:t>
      </w:r>
      <w:r w:rsidR="00DF5443" w:rsidRPr="00281245">
        <w:rPr>
          <w:lang w:eastAsia="en-GB"/>
        </w:rPr>
        <w:t xml:space="preserve"> </w:t>
      </w:r>
      <w:r w:rsidRPr="00281245">
        <w:rPr>
          <w:lang w:eastAsia="en-GB"/>
        </w:rPr>
        <w:t>is now clear. While a declaration was lodged by the Palestinian Minister of Justice in 2009 purporting to accept its jurisdiction “for acts committed on the territory of Palestine since 1 July 2002”</w:t>
      </w:r>
      <w:r w:rsidR="002367D5">
        <w:rPr>
          <w:lang w:eastAsia="en-GB"/>
        </w:rPr>
        <w:t>,</w:t>
      </w:r>
      <w:r w:rsidRPr="00281245">
        <w:rPr>
          <w:sz w:val="18"/>
          <w:vertAlign w:val="superscript"/>
          <w:lang w:eastAsia="en-GB"/>
        </w:rPr>
        <w:footnoteReference w:id="94"/>
      </w:r>
      <w:r>
        <w:rPr>
          <w:lang w:eastAsia="en-GB"/>
        </w:rPr>
        <w:t xml:space="preserve"> it seems the Court’s</w:t>
      </w:r>
      <w:r w:rsidRPr="00281245">
        <w:rPr>
          <w:lang w:eastAsia="en-GB"/>
        </w:rPr>
        <w:t xml:space="preserve"> decision of 3</w:t>
      </w:r>
      <w:r w:rsidR="002367D5">
        <w:rPr>
          <w:lang w:eastAsia="en-GB"/>
        </w:rPr>
        <w:t> </w:t>
      </w:r>
      <w:r w:rsidRPr="00281245">
        <w:rPr>
          <w:lang w:eastAsia="en-GB"/>
        </w:rPr>
        <w:t>April 2012 on the question of jurisdiction</w:t>
      </w:r>
      <w:r w:rsidR="00B0669F" w:rsidRPr="00281245">
        <w:rPr>
          <w:sz w:val="18"/>
          <w:vertAlign w:val="superscript"/>
          <w:lang w:eastAsia="en-GB"/>
        </w:rPr>
        <w:footnoteReference w:id="95"/>
      </w:r>
      <w:r w:rsidRPr="00281245">
        <w:rPr>
          <w:lang w:eastAsia="en-GB"/>
        </w:rPr>
        <w:t xml:space="preserve"> had the effect of closing the preliminary examination</w:t>
      </w:r>
      <w:r w:rsidR="002367D5">
        <w:rPr>
          <w:lang w:eastAsia="en-GB"/>
        </w:rPr>
        <w:t>.</w:t>
      </w:r>
      <w:r w:rsidRPr="00281245">
        <w:rPr>
          <w:sz w:val="18"/>
          <w:vertAlign w:val="superscript"/>
          <w:lang w:eastAsia="en-GB"/>
        </w:rPr>
        <w:footnoteReference w:id="96"/>
      </w:r>
      <w:r w:rsidRPr="00281245">
        <w:rPr>
          <w:lang w:eastAsia="en-GB"/>
        </w:rPr>
        <w:t xml:space="preserve"> An acceptance of jurisdiction would potentially bring a measure of accountability for key individuals, and address violations related to the crime of apartheid and other issues flowing from the more than 400 communications on crimes allegedly committed in </w:t>
      </w:r>
      <w:smartTag w:uri="urn:schemas-microsoft-com:office:smarttags" w:element="City">
        <w:smartTag w:uri="urn:schemas-microsoft-com:office:smarttags" w:element="place">
          <w:r w:rsidRPr="00281245">
            <w:rPr>
              <w:lang w:eastAsia="en-GB"/>
            </w:rPr>
            <w:t>Palestine</w:t>
          </w:r>
        </w:smartTag>
      </w:smartTag>
      <w:r w:rsidRPr="00281245">
        <w:rPr>
          <w:lang w:eastAsia="en-GB"/>
        </w:rPr>
        <w:t>, received by the Office of the Prosecutor</w:t>
      </w:r>
      <w:r w:rsidR="00B0669F">
        <w:rPr>
          <w:lang w:eastAsia="en-GB"/>
        </w:rPr>
        <w:t xml:space="preserve"> of the International Criminal Court</w:t>
      </w:r>
      <w:r w:rsidRPr="00281245">
        <w:rPr>
          <w:lang w:eastAsia="en-GB"/>
        </w:rPr>
        <w:t xml:space="preserve"> </w:t>
      </w:r>
      <w:r>
        <w:rPr>
          <w:lang w:eastAsia="en-GB"/>
        </w:rPr>
        <w:t>since</w:t>
      </w:r>
      <w:r w:rsidRPr="00281245">
        <w:rPr>
          <w:lang w:eastAsia="en-GB"/>
        </w:rPr>
        <w:t xml:space="preserve"> 2009</w:t>
      </w:r>
      <w:r w:rsidR="002367D5">
        <w:rPr>
          <w:lang w:eastAsia="en-GB"/>
        </w:rPr>
        <w:t>.</w:t>
      </w:r>
      <w:r w:rsidRPr="00281245">
        <w:rPr>
          <w:sz w:val="18"/>
          <w:vertAlign w:val="superscript"/>
          <w:lang w:eastAsia="en-GB"/>
        </w:rPr>
        <w:footnoteReference w:id="97"/>
      </w:r>
    </w:p>
    <w:p w:rsidR="00C05D53" w:rsidRPr="007F5C54" w:rsidRDefault="007F5C54" w:rsidP="007F5C54">
      <w:pPr>
        <w:pStyle w:val="HChG"/>
      </w:pPr>
      <w:r>
        <w:tab/>
        <w:t>VII.</w:t>
      </w:r>
      <w:r>
        <w:tab/>
      </w:r>
      <w:r w:rsidR="00C05D53" w:rsidRPr="007F5C54">
        <w:t>Recommendations</w:t>
      </w:r>
    </w:p>
    <w:p w:rsidR="00C05D53" w:rsidRPr="007F5C54" w:rsidRDefault="00EF1203" w:rsidP="00C05D53">
      <w:pPr>
        <w:pStyle w:val="SingleTxtG"/>
        <w:numPr>
          <w:ilvl w:val="0"/>
          <w:numId w:val="10"/>
        </w:numPr>
        <w:ind w:left="1134" w:firstLine="0"/>
        <w:rPr>
          <w:b/>
          <w:lang w:eastAsia="en-GB"/>
        </w:rPr>
      </w:pPr>
      <w:r w:rsidRPr="007F5C54">
        <w:rPr>
          <w:b/>
          <w:lang w:eastAsia="en-GB"/>
        </w:rPr>
        <w:t>In this</w:t>
      </w:r>
      <w:r w:rsidR="003309F9">
        <w:rPr>
          <w:b/>
          <w:lang w:eastAsia="en-GB"/>
        </w:rPr>
        <w:t>, his</w:t>
      </w:r>
      <w:r w:rsidRPr="007F5C54">
        <w:rPr>
          <w:b/>
          <w:lang w:eastAsia="en-GB"/>
        </w:rPr>
        <w:t xml:space="preserve"> final report, </w:t>
      </w:r>
      <w:r w:rsidR="003309F9">
        <w:rPr>
          <w:b/>
          <w:lang w:eastAsia="en-GB"/>
        </w:rPr>
        <w:t>the Special Rapporteur</w:t>
      </w:r>
      <w:r w:rsidRPr="007F5C54">
        <w:rPr>
          <w:b/>
          <w:lang w:eastAsia="en-GB"/>
        </w:rPr>
        <w:t xml:space="preserve"> take</w:t>
      </w:r>
      <w:r w:rsidR="003309F9">
        <w:rPr>
          <w:b/>
          <w:lang w:eastAsia="en-GB"/>
        </w:rPr>
        <w:t>s</w:t>
      </w:r>
      <w:r w:rsidRPr="007F5C54">
        <w:rPr>
          <w:b/>
          <w:lang w:eastAsia="en-GB"/>
        </w:rPr>
        <w:t xml:space="preserve"> the opportunity to reiterate some past recommendations and add several new ones, namely that: </w:t>
      </w:r>
    </w:p>
    <w:p w:rsidR="00C05D53" w:rsidRPr="001E38C4" w:rsidRDefault="003309F9" w:rsidP="00360FE6">
      <w:pPr>
        <w:pStyle w:val="SingleTxtG"/>
        <w:ind w:firstLine="567"/>
        <w:rPr>
          <w:b/>
          <w:lang w:eastAsia="en-GB"/>
        </w:rPr>
      </w:pPr>
      <w:r>
        <w:rPr>
          <w:b/>
          <w:lang w:eastAsia="en-GB"/>
        </w:rPr>
        <w:t>(a)</w:t>
      </w:r>
      <w:r>
        <w:rPr>
          <w:b/>
          <w:lang w:eastAsia="en-GB"/>
        </w:rPr>
        <w:tab/>
      </w:r>
      <w:r w:rsidR="00C05D53" w:rsidRPr="001E38C4">
        <w:rPr>
          <w:b/>
          <w:lang w:eastAsia="en-GB"/>
        </w:rPr>
        <w:t>Palestinian legal rights, including the right of self-determination, be fully respected and implemented in</w:t>
      </w:r>
      <w:r w:rsidR="00C05D53">
        <w:rPr>
          <w:b/>
          <w:lang w:eastAsia="en-GB"/>
        </w:rPr>
        <w:t xml:space="preserve"> </w:t>
      </w:r>
      <w:r w:rsidR="00C05D53" w:rsidRPr="001E38C4">
        <w:rPr>
          <w:b/>
          <w:lang w:eastAsia="en-GB"/>
        </w:rPr>
        <w:t xml:space="preserve">attempts </w:t>
      </w:r>
      <w:r w:rsidR="00C05D53">
        <w:rPr>
          <w:b/>
          <w:lang w:eastAsia="en-GB"/>
        </w:rPr>
        <w:t>to reach</w:t>
      </w:r>
      <w:r w:rsidR="00C05D53" w:rsidRPr="001E38C4">
        <w:rPr>
          <w:b/>
          <w:lang w:eastAsia="en-GB"/>
        </w:rPr>
        <w:t xml:space="preserve"> a peaceful </w:t>
      </w:r>
      <w:r w:rsidR="00C05D53">
        <w:rPr>
          <w:b/>
          <w:lang w:eastAsia="en-GB"/>
        </w:rPr>
        <w:t xml:space="preserve">and just </w:t>
      </w:r>
      <w:r w:rsidR="00C05D53" w:rsidRPr="001E38C4">
        <w:rPr>
          <w:b/>
          <w:lang w:eastAsia="en-GB"/>
        </w:rPr>
        <w:t>resolution of the conflict between the</w:t>
      </w:r>
      <w:r w:rsidR="00C05D53">
        <w:rPr>
          <w:b/>
          <w:lang w:eastAsia="en-GB"/>
        </w:rPr>
        <w:t>se</w:t>
      </w:r>
      <w:r w:rsidR="00C05D53" w:rsidRPr="001E38C4">
        <w:rPr>
          <w:b/>
          <w:lang w:eastAsia="en-GB"/>
        </w:rPr>
        <w:t xml:space="preserve"> two peoples</w:t>
      </w:r>
      <w:r>
        <w:rPr>
          <w:b/>
          <w:lang w:eastAsia="en-GB"/>
        </w:rPr>
        <w:t>;</w:t>
      </w:r>
    </w:p>
    <w:p w:rsidR="00C05D53" w:rsidRDefault="003309F9" w:rsidP="00360FE6">
      <w:pPr>
        <w:pStyle w:val="SingleTxtG"/>
        <w:ind w:firstLine="567"/>
        <w:rPr>
          <w:b/>
          <w:lang w:eastAsia="en-GB"/>
        </w:rPr>
      </w:pPr>
      <w:r>
        <w:rPr>
          <w:b/>
          <w:lang w:eastAsia="en-GB"/>
        </w:rPr>
        <w:t>(b)</w:t>
      </w:r>
      <w:r>
        <w:rPr>
          <w:b/>
          <w:lang w:eastAsia="en-GB"/>
        </w:rPr>
        <w:tab/>
      </w:r>
      <w:r w:rsidR="00C05D53" w:rsidRPr="001E38C4">
        <w:rPr>
          <w:b/>
          <w:lang w:eastAsia="en-GB"/>
        </w:rPr>
        <w:t xml:space="preserve">The General Assembly request the </w:t>
      </w:r>
      <w:r>
        <w:rPr>
          <w:b/>
          <w:lang w:eastAsia="en-GB"/>
        </w:rPr>
        <w:t xml:space="preserve">International Court of Justice to </w:t>
      </w:r>
      <w:r w:rsidR="00C05D53" w:rsidRPr="001E38C4">
        <w:rPr>
          <w:b/>
          <w:lang w:eastAsia="en-GB"/>
        </w:rPr>
        <w:t xml:space="preserve">issue an advisory opinion on the legal status of </w:t>
      </w:r>
      <w:r w:rsidR="001F5515">
        <w:rPr>
          <w:b/>
          <w:lang w:eastAsia="en-GB"/>
        </w:rPr>
        <w:t xml:space="preserve">the </w:t>
      </w:r>
      <w:r w:rsidR="00C05D53" w:rsidRPr="001E38C4">
        <w:rPr>
          <w:b/>
          <w:lang w:eastAsia="en-GB"/>
        </w:rPr>
        <w:t>prolonged occupation</w:t>
      </w:r>
      <w:r w:rsidR="00C05D53">
        <w:rPr>
          <w:b/>
          <w:lang w:eastAsia="en-GB"/>
        </w:rPr>
        <w:t xml:space="preserve"> of Palestine</w:t>
      </w:r>
      <w:r w:rsidR="00C05D53" w:rsidRPr="001E38C4">
        <w:rPr>
          <w:b/>
          <w:lang w:eastAsia="en-GB"/>
        </w:rPr>
        <w:t>, as aggravated by prohibited transfers of large numbers of persons from the occupying Power and the imposition of a dual and discriminatory administrative and legal system in the West Bank, including East Jerusalem</w:t>
      </w:r>
      <w:r w:rsidR="00C05D53">
        <w:rPr>
          <w:b/>
          <w:lang w:eastAsia="en-GB"/>
        </w:rPr>
        <w:t>, and further assess allegations that the prolonged occupation possesses legally unacceptable characteristics of “colonialism”, “apartheid” and “ethnic cleansing”</w:t>
      </w:r>
      <w:r>
        <w:rPr>
          <w:b/>
          <w:lang w:eastAsia="en-GB"/>
        </w:rPr>
        <w:t>;</w:t>
      </w:r>
    </w:p>
    <w:p w:rsidR="00C05D53" w:rsidRPr="001E38C4" w:rsidRDefault="003309F9" w:rsidP="00360FE6">
      <w:pPr>
        <w:pStyle w:val="SingleTxtG"/>
        <w:ind w:firstLine="567"/>
        <w:rPr>
          <w:b/>
          <w:lang w:eastAsia="en-GB"/>
        </w:rPr>
      </w:pPr>
      <w:r>
        <w:rPr>
          <w:b/>
          <w:lang w:eastAsia="en-GB"/>
        </w:rPr>
        <w:t>(c)</w:t>
      </w:r>
      <w:r>
        <w:rPr>
          <w:b/>
          <w:lang w:eastAsia="en-GB"/>
        </w:rPr>
        <w:tab/>
      </w:r>
      <w:r w:rsidR="00C05D53">
        <w:rPr>
          <w:b/>
          <w:lang w:eastAsia="en-GB"/>
        </w:rPr>
        <w:t xml:space="preserve">The </w:t>
      </w:r>
      <w:r>
        <w:rPr>
          <w:b/>
          <w:lang w:eastAsia="en-GB"/>
        </w:rPr>
        <w:t xml:space="preserve">Human Rights Council </w:t>
      </w:r>
      <w:r w:rsidR="00C05D53">
        <w:rPr>
          <w:b/>
          <w:lang w:eastAsia="en-GB"/>
        </w:rPr>
        <w:t xml:space="preserve">appoint an expert group to propose a special protocol to the </w:t>
      </w:r>
      <w:r>
        <w:rPr>
          <w:b/>
          <w:lang w:eastAsia="en-GB"/>
        </w:rPr>
        <w:t xml:space="preserve">Fourth </w:t>
      </w:r>
      <w:r w:rsidR="00C05D53">
        <w:rPr>
          <w:b/>
          <w:lang w:eastAsia="en-GB"/>
        </w:rPr>
        <w:t>Geneva Convention with the specific purpose of proposing a legal regime for any occupation that lasts for more than five years</w:t>
      </w:r>
      <w:r>
        <w:rPr>
          <w:b/>
          <w:lang w:eastAsia="en-GB"/>
        </w:rPr>
        <w:t>;</w:t>
      </w:r>
    </w:p>
    <w:p w:rsidR="00C05D53" w:rsidRDefault="003309F9" w:rsidP="00360FE6">
      <w:pPr>
        <w:pStyle w:val="SingleTxtG"/>
        <w:ind w:firstLine="567"/>
        <w:rPr>
          <w:b/>
          <w:lang w:eastAsia="en-GB"/>
        </w:rPr>
      </w:pPr>
      <w:r>
        <w:rPr>
          <w:b/>
          <w:lang w:eastAsia="en-GB"/>
        </w:rPr>
        <w:lastRenderedPageBreak/>
        <w:t>(d)</w:t>
      </w:r>
      <w:r>
        <w:rPr>
          <w:b/>
          <w:lang w:eastAsia="en-GB"/>
        </w:rPr>
        <w:tab/>
      </w:r>
      <w:r w:rsidR="00C05D53" w:rsidRPr="001E38C4">
        <w:rPr>
          <w:b/>
          <w:lang w:eastAsia="en-GB"/>
        </w:rPr>
        <w:t xml:space="preserve">The international community </w:t>
      </w:r>
      <w:r w:rsidR="00C05D53">
        <w:rPr>
          <w:b/>
          <w:lang w:eastAsia="en-GB"/>
        </w:rPr>
        <w:t>comprehensively</w:t>
      </w:r>
      <w:r w:rsidR="00C05D53" w:rsidRPr="001E38C4">
        <w:rPr>
          <w:b/>
          <w:lang w:eastAsia="en-GB"/>
        </w:rPr>
        <w:t xml:space="preserve"> investigate the business activities of companies </w:t>
      </w:r>
      <w:r w:rsidR="00C05D53">
        <w:rPr>
          <w:b/>
          <w:lang w:eastAsia="en-GB"/>
        </w:rPr>
        <w:t xml:space="preserve">and financial institutions </w:t>
      </w:r>
      <w:r w:rsidR="00C05D53" w:rsidRPr="001E38C4">
        <w:rPr>
          <w:b/>
          <w:lang w:eastAsia="en-GB"/>
        </w:rPr>
        <w:t xml:space="preserve">registered in their own respective countries, which profit from </w:t>
      </w:r>
      <w:r>
        <w:rPr>
          <w:b/>
          <w:lang w:eastAsia="en-GB"/>
        </w:rPr>
        <w:t>the</w:t>
      </w:r>
      <w:r w:rsidRPr="001E38C4">
        <w:rPr>
          <w:b/>
          <w:lang w:eastAsia="en-GB"/>
        </w:rPr>
        <w:t xml:space="preserve"> </w:t>
      </w:r>
      <w:r w:rsidR="00C05D53" w:rsidRPr="001E38C4">
        <w:rPr>
          <w:b/>
          <w:lang w:eastAsia="en-GB"/>
        </w:rPr>
        <w:t>settlements</w:t>
      </w:r>
      <w:r>
        <w:rPr>
          <w:b/>
          <w:lang w:eastAsia="en-GB"/>
        </w:rPr>
        <w:t xml:space="preserve"> of </w:t>
      </w:r>
      <w:smartTag w:uri="urn:schemas-microsoft-com:office:smarttags" w:element="country-region">
        <w:smartTag w:uri="urn:schemas-microsoft-com:office:smarttags" w:element="place">
          <w:r>
            <w:rPr>
              <w:b/>
              <w:lang w:eastAsia="en-GB"/>
            </w:rPr>
            <w:t>Israel</w:t>
          </w:r>
        </w:smartTag>
      </w:smartTag>
      <w:r w:rsidR="00C05D53">
        <w:rPr>
          <w:b/>
          <w:lang w:eastAsia="en-GB"/>
        </w:rPr>
        <w:t xml:space="preserve"> and other unlawful Israeli activities</w:t>
      </w:r>
      <w:r w:rsidR="00C05D53" w:rsidRPr="001E38C4">
        <w:rPr>
          <w:b/>
          <w:lang w:eastAsia="en-GB"/>
        </w:rPr>
        <w:t>, and take appropriate action to end such practices and ensure appropriate reparation for affected Palestinians.</w:t>
      </w:r>
      <w:r w:rsidR="00C05D53">
        <w:rPr>
          <w:b/>
          <w:lang w:eastAsia="en-GB"/>
        </w:rPr>
        <w:t xml:space="preserve"> Member States should consider imposing a ban on imports of settlement produce</w:t>
      </w:r>
      <w:r>
        <w:rPr>
          <w:b/>
          <w:lang w:eastAsia="en-GB"/>
        </w:rPr>
        <w:t>;</w:t>
      </w:r>
    </w:p>
    <w:p w:rsidR="00C05D53" w:rsidRPr="001E38C4" w:rsidRDefault="003309F9" w:rsidP="00360FE6">
      <w:pPr>
        <w:pStyle w:val="SingleTxtG"/>
        <w:ind w:firstLine="567"/>
        <w:rPr>
          <w:b/>
          <w:lang w:eastAsia="en-GB"/>
        </w:rPr>
      </w:pPr>
      <w:r>
        <w:rPr>
          <w:b/>
          <w:lang w:eastAsia="en-GB"/>
        </w:rPr>
        <w:t>(e)</w:t>
      </w:r>
      <w:r>
        <w:rPr>
          <w:b/>
          <w:lang w:eastAsia="en-GB"/>
        </w:rPr>
        <w:tab/>
      </w:r>
      <w:r w:rsidR="00C05D53">
        <w:rPr>
          <w:b/>
          <w:lang w:eastAsia="en-GB"/>
        </w:rPr>
        <w:t xml:space="preserve">Future investigations consider whether other foreign corporate connections with unlawful occupation policies additional to settlements (e.g. separation wall, Gaza blockade, house demolitions, excessive use of force) should not be also deemed </w:t>
      </w:r>
      <w:r w:rsidR="00FC7386">
        <w:rPr>
          <w:b/>
          <w:lang w:eastAsia="en-GB"/>
        </w:rPr>
        <w:t>“</w:t>
      </w:r>
      <w:r w:rsidR="00C05D53">
        <w:rPr>
          <w:b/>
          <w:lang w:eastAsia="en-GB"/>
        </w:rPr>
        <w:t>problematic</w:t>
      </w:r>
      <w:r w:rsidR="00FC7386">
        <w:rPr>
          <w:b/>
          <w:lang w:eastAsia="en-GB"/>
        </w:rPr>
        <w:t>”</w:t>
      </w:r>
      <w:r w:rsidR="00C05D53">
        <w:rPr>
          <w:b/>
          <w:lang w:eastAsia="en-GB"/>
        </w:rPr>
        <w:t xml:space="preserve"> under international law,</w:t>
      </w:r>
      <w:r w:rsidR="00610662">
        <w:rPr>
          <w:b/>
          <w:lang w:eastAsia="en-GB"/>
        </w:rPr>
        <w:t xml:space="preserve"> </w:t>
      </w:r>
      <w:r w:rsidR="00C05D53">
        <w:rPr>
          <w:b/>
          <w:lang w:eastAsia="en-GB"/>
        </w:rPr>
        <w:t>and treated in a manner analogous to the recommendations pertaining to settlements</w:t>
      </w:r>
      <w:r w:rsidR="00367A4A">
        <w:rPr>
          <w:b/>
          <w:lang w:eastAsia="en-GB"/>
        </w:rPr>
        <w:t>;</w:t>
      </w:r>
    </w:p>
    <w:p w:rsidR="00C05D53" w:rsidRPr="001E38C4" w:rsidRDefault="00367A4A" w:rsidP="00360FE6">
      <w:pPr>
        <w:pStyle w:val="SingleTxtG"/>
        <w:ind w:firstLine="567"/>
        <w:rPr>
          <w:b/>
          <w:lang w:eastAsia="en-GB"/>
        </w:rPr>
      </w:pPr>
      <w:r>
        <w:rPr>
          <w:b/>
          <w:lang w:eastAsia="en-GB"/>
        </w:rPr>
        <w:t>(f)</w:t>
      </w:r>
      <w:r>
        <w:rPr>
          <w:b/>
          <w:lang w:eastAsia="en-GB"/>
        </w:rPr>
        <w:tab/>
      </w:r>
      <w:r w:rsidR="00C05D53" w:rsidRPr="001E38C4">
        <w:rPr>
          <w:b/>
          <w:lang w:eastAsia="en-GB"/>
        </w:rPr>
        <w:t>The Government of Israel cease expanding and creating settlements in occupied Palestine, start dismantling existing settlements and returning its citizens to the Israeli side of the Green Line, provide appropriate reparations for the damage due to settlement and related activity since 1967</w:t>
      </w:r>
      <w:r w:rsidR="00C05D53">
        <w:rPr>
          <w:b/>
          <w:lang w:eastAsia="en-GB"/>
        </w:rPr>
        <w:t>, and act diligently to protect Palestinians living under Israeli occupation from settler violence</w:t>
      </w:r>
      <w:r>
        <w:rPr>
          <w:b/>
          <w:lang w:eastAsia="en-GB"/>
        </w:rPr>
        <w:t>;</w:t>
      </w:r>
    </w:p>
    <w:p w:rsidR="00C05D53" w:rsidRPr="001E38C4" w:rsidRDefault="00367A4A" w:rsidP="00360FE6">
      <w:pPr>
        <w:pStyle w:val="SingleTxtG"/>
        <w:ind w:firstLine="567"/>
        <w:rPr>
          <w:b/>
          <w:lang w:eastAsia="en-GB"/>
        </w:rPr>
      </w:pPr>
      <w:r>
        <w:rPr>
          <w:b/>
          <w:lang w:eastAsia="en-GB"/>
        </w:rPr>
        <w:t>(g)</w:t>
      </w:r>
      <w:r>
        <w:rPr>
          <w:b/>
          <w:lang w:eastAsia="en-GB"/>
        </w:rPr>
        <w:tab/>
      </w:r>
      <w:r w:rsidR="00C05D53">
        <w:rPr>
          <w:b/>
          <w:lang w:eastAsia="en-GB"/>
        </w:rPr>
        <w:t>The Government of Israel forthwith lift the unlawful blockade of Gaza, cease military incursions, allow Gazans to benefit fully from their natural resources situated within their borders or off the coast of Gaza, and take account of a deepening emergency in Gaza</w:t>
      </w:r>
      <w:r>
        <w:rPr>
          <w:b/>
          <w:lang w:eastAsia="en-GB"/>
        </w:rPr>
        <w:t>;</w:t>
      </w:r>
    </w:p>
    <w:p w:rsidR="00C05D53" w:rsidRDefault="00367A4A" w:rsidP="00360FE6">
      <w:pPr>
        <w:pStyle w:val="SingleTxtG"/>
        <w:ind w:firstLine="567"/>
        <w:rPr>
          <w:lang w:eastAsia="en-GB"/>
        </w:rPr>
      </w:pPr>
      <w:r>
        <w:rPr>
          <w:b/>
          <w:lang w:eastAsia="en-GB"/>
        </w:rPr>
        <w:t>(h)</w:t>
      </w:r>
      <w:r>
        <w:rPr>
          <w:b/>
          <w:lang w:eastAsia="en-GB"/>
        </w:rPr>
        <w:tab/>
      </w:r>
      <w:r w:rsidR="00C05D53" w:rsidRPr="001E38C4">
        <w:rPr>
          <w:b/>
          <w:lang w:eastAsia="en-GB"/>
        </w:rPr>
        <w:t xml:space="preserve">The </w:t>
      </w:r>
      <w:r w:rsidR="00DA2EBB">
        <w:rPr>
          <w:b/>
          <w:lang w:eastAsia="en-GB"/>
        </w:rPr>
        <w:t>H</w:t>
      </w:r>
      <w:r>
        <w:rPr>
          <w:b/>
          <w:lang w:eastAsia="en-GB"/>
        </w:rPr>
        <w:t>uman Rights Council</w:t>
      </w:r>
      <w:r w:rsidR="00C05D53" w:rsidRPr="001E38C4">
        <w:rPr>
          <w:b/>
          <w:lang w:eastAsia="en-GB"/>
        </w:rPr>
        <w:t xml:space="preserve"> </w:t>
      </w:r>
      <w:r w:rsidR="00813C54">
        <w:rPr>
          <w:b/>
          <w:lang w:eastAsia="en-GB"/>
        </w:rPr>
        <w:t>pay</w:t>
      </w:r>
      <w:r w:rsidR="00813C54" w:rsidRPr="001E38C4">
        <w:rPr>
          <w:b/>
          <w:lang w:eastAsia="en-GB"/>
        </w:rPr>
        <w:t xml:space="preserve"> </w:t>
      </w:r>
      <w:r w:rsidR="00C05D53" w:rsidRPr="001E38C4">
        <w:rPr>
          <w:b/>
          <w:lang w:eastAsia="en-GB"/>
        </w:rPr>
        <w:t xml:space="preserve">increased attention to the </w:t>
      </w:r>
      <w:r w:rsidR="00C05D53">
        <w:rPr>
          <w:b/>
          <w:lang w:eastAsia="en-GB"/>
        </w:rPr>
        <w:t>failure</w:t>
      </w:r>
      <w:r w:rsidR="00C05D53" w:rsidRPr="001E38C4">
        <w:rPr>
          <w:b/>
          <w:lang w:eastAsia="en-GB"/>
        </w:rPr>
        <w:t xml:space="preserve"> by Israel to cooperate with the normal functioning of the United Nations by way of the Special Rapporteur on the situation of human rights in the Palestinian territories occupied since 1967</w:t>
      </w:r>
      <w:r w:rsidR="007A4D51">
        <w:rPr>
          <w:b/>
          <w:lang w:eastAsia="en-GB"/>
        </w:rPr>
        <w:t>,</w:t>
      </w:r>
      <w:r w:rsidR="00C05D53">
        <w:rPr>
          <w:rStyle w:val="FootnoteReference"/>
          <w:lang w:eastAsia="en-GB"/>
        </w:rPr>
        <w:footnoteReference w:id="98"/>
      </w:r>
      <w:r w:rsidR="008D787C" w:rsidRPr="008D787C">
        <w:rPr>
          <w:b/>
          <w:lang w:eastAsia="en-GB"/>
        </w:rPr>
        <w:t xml:space="preserve"> and to the protection of </w:t>
      </w:r>
      <w:r w:rsidR="00C05D53" w:rsidRPr="008D787C">
        <w:rPr>
          <w:b/>
          <w:lang w:eastAsia="en-GB"/>
        </w:rPr>
        <w:t>Special Rapporteurs from defamatory attacks diverting attention from substantive issues integral to the mandate.</w:t>
      </w:r>
    </w:p>
    <w:p w:rsidR="00C05D53" w:rsidRPr="00BA7002" w:rsidRDefault="00C05D53" w:rsidP="00C05D53">
      <w:pPr>
        <w:pStyle w:val="SingleTxtG"/>
        <w:spacing w:before="240" w:after="0"/>
        <w:jc w:val="center"/>
        <w:rPr>
          <w:u w:val="single"/>
          <w:lang w:eastAsia="en-GB"/>
        </w:rPr>
      </w:pPr>
      <w:r>
        <w:rPr>
          <w:u w:val="single"/>
          <w:lang w:eastAsia="en-GB"/>
        </w:rPr>
        <w:tab/>
      </w:r>
      <w:r>
        <w:rPr>
          <w:u w:val="single"/>
          <w:lang w:eastAsia="en-GB"/>
        </w:rPr>
        <w:tab/>
      </w:r>
      <w:r>
        <w:rPr>
          <w:u w:val="single"/>
          <w:lang w:eastAsia="en-GB"/>
        </w:rPr>
        <w:tab/>
      </w:r>
    </w:p>
    <w:sectPr w:rsidR="00C05D53" w:rsidRPr="00BA7002" w:rsidSect="00C05D53">
      <w:headerReference w:type="even" r:id="rId13"/>
      <w:headerReference w:type="default" r:id="rId14"/>
      <w:footerReference w:type="even" r:id="rId15"/>
      <w:footerReference w:type="default" r:id="rId16"/>
      <w:footerReference w:type="first" r:id="rId17"/>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3FE" w:rsidRDefault="001443FE"/>
  </w:endnote>
  <w:endnote w:type="continuationSeparator" w:id="0">
    <w:p w:rsidR="001443FE" w:rsidRDefault="001443FE"/>
  </w:endnote>
  <w:endnote w:type="continuationNotice" w:id="1">
    <w:p w:rsidR="001443FE" w:rsidRDefault="001443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auto"/>
    <w:pitch w:val="variable"/>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8FD" w:rsidRPr="00326D0B" w:rsidRDefault="008518FD" w:rsidP="00C05D53">
    <w:pPr>
      <w:pStyle w:val="Footer"/>
      <w:tabs>
        <w:tab w:val="right" w:pos="9638"/>
      </w:tabs>
    </w:pPr>
    <w:r w:rsidRPr="00326D0B">
      <w:rPr>
        <w:b/>
        <w:sz w:val="18"/>
      </w:rPr>
      <w:fldChar w:fldCharType="begin"/>
    </w:r>
    <w:r w:rsidRPr="00326D0B">
      <w:rPr>
        <w:b/>
        <w:sz w:val="18"/>
      </w:rPr>
      <w:instrText xml:space="preserve"> PAGE  \* MERGEFORMAT </w:instrText>
    </w:r>
    <w:r w:rsidRPr="00326D0B">
      <w:rPr>
        <w:b/>
        <w:sz w:val="18"/>
      </w:rPr>
      <w:fldChar w:fldCharType="separate"/>
    </w:r>
    <w:r w:rsidR="003F0397">
      <w:rPr>
        <w:b/>
        <w:noProof/>
        <w:sz w:val="18"/>
      </w:rPr>
      <w:t>22</w:t>
    </w:r>
    <w:r w:rsidRPr="00326D0B">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8FD" w:rsidRPr="00326D0B" w:rsidRDefault="008518FD" w:rsidP="00C05D53">
    <w:pPr>
      <w:pStyle w:val="Footer"/>
      <w:tabs>
        <w:tab w:val="right" w:pos="9638"/>
      </w:tabs>
      <w:rPr>
        <w:b/>
        <w:sz w:val="18"/>
      </w:rPr>
    </w:pPr>
    <w:r>
      <w:tab/>
    </w:r>
    <w:r w:rsidRPr="00326D0B">
      <w:rPr>
        <w:b/>
        <w:sz w:val="18"/>
      </w:rPr>
      <w:fldChar w:fldCharType="begin"/>
    </w:r>
    <w:r w:rsidRPr="00326D0B">
      <w:rPr>
        <w:b/>
        <w:sz w:val="18"/>
      </w:rPr>
      <w:instrText xml:space="preserve"> PAGE  \* MERGEFORMAT </w:instrText>
    </w:r>
    <w:r w:rsidRPr="00326D0B">
      <w:rPr>
        <w:b/>
        <w:sz w:val="18"/>
      </w:rPr>
      <w:fldChar w:fldCharType="separate"/>
    </w:r>
    <w:r w:rsidR="003F0397">
      <w:rPr>
        <w:b/>
        <w:noProof/>
        <w:sz w:val="18"/>
      </w:rPr>
      <w:t>21</w:t>
    </w:r>
    <w:r w:rsidRPr="00326D0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8FD" w:rsidRPr="00326D0B" w:rsidRDefault="008518FD" w:rsidP="00C05D53">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334.55pt;margin-top:646.4pt;width:73.25pt;height:18.15pt;z-index:1;mso-position-horizontal-relative:margin;mso-position-vertical-relative:margin">
          <v:imagedata r:id="rId1" o:title="recycle_English"/>
          <w10:wrap anchorx="margin" anchory="margin"/>
          <w10:anchorlock/>
        </v:shape>
      </w:pict>
    </w:r>
    <w:r>
      <w:t>GE.14-10198</w:t>
    </w:r>
    <w:r>
      <w:br/>
    </w:r>
    <w:r w:rsidRPr="00E54F13">
      <w:rPr>
        <w:rFonts w:ascii="C39T30Lfz" w:hAnsi="C39T30Lfz"/>
        <w:sz w:val="56"/>
      </w:rPr>
      <w:t></w:t>
    </w:r>
    <w:r w:rsidRPr="00E54F13">
      <w:rPr>
        <w:rFonts w:ascii="C39T30Lfz" w:hAnsi="C39T30Lfz"/>
        <w:sz w:val="56"/>
      </w:rPr>
      <w:t></w:t>
    </w:r>
    <w:r w:rsidRPr="00E54F13">
      <w:rPr>
        <w:rFonts w:ascii="C39T30Lfz" w:hAnsi="C39T30Lfz"/>
        <w:sz w:val="56"/>
      </w:rPr>
      <w:t></w:t>
    </w:r>
    <w:r w:rsidRPr="00E54F13">
      <w:rPr>
        <w:rFonts w:ascii="C39T30Lfz" w:hAnsi="C39T30Lfz"/>
        <w:sz w:val="56"/>
      </w:rPr>
      <w:t></w:t>
    </w:r>
    <w:r w:rsidRPr="00E54F13">
      <w:rPr>
        <w:rFonts w:ascii="C39T30Lfz" w:hAnsi="C39T30Lfz"/>
        <w:sz w:val="56"/>
      </w:rPr>
      <w:t></w:t>
    </w:r>
    <w:r w:rsidRPr="00E54F13">
      <w:rPr>
        <w:rFonts w:ascii="C39T30Lfz" w:hAnsi="C39T30Lfz"/>
        <w:sz w:val="56"/>
      </w:rPr>
      <w:t></w:t>
    </w:r>
    <w:r w:rsidRPr="00E54F13">
      <w:rPr>
        <w:rFonts w:ascii="C39T30Lfz" w:hAnsi="C39T30Lfz"/>
        <w:sz w:val="56"/>
      </w:rPr>
      <w:t></w:t>
    </w:r>
    <w:r w:rsidRPr="00E54F13">
      <w:rPr>
        <w:rFonts w:ascii="C39T30Lfz" w:hAnsi="C39T30Lfz"/>
        <w:sz w:val="56"/>
      </w:rPr>
      <w:t></w:t>
    </w:r>
    <w:r w:rsidRPr="00E54F13">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3FE" w:rsidRPr="000B175B" w:rsidRDefault="001443FE" w:rsidP="00C05D53">
      <w:pPr>
        <w:tabs>
          <w:tab w:val="right" w:pos="2155"/>
        </w:tabs>
        <w:spacing w:after="80"/>
        <w:ind w:left="680"/>
        <w:rPr>
          <w:u w:val="single"/>
        </w:rPr>
      </w:pPr>
      <w:r>
        <w:rPr>
          <w:u w:val="single"/>
        </w:rPr>
        <w:tab/>
      </w:r>
    </w:p>
  </w:footnote>
  <w:footnote w:type="continuationSeparator" w:id="0">
    <w:p w:rsidR="001443FE" w:rsidRPr="00FC68B7" w:rsidRDefault="001443FE" w:rsidP="00C05D53">
      <w:pPr>
        <w:tabs>
          <w:tab w:val="left" w:pos="2155"/>
        </w:tabs>
        <w:spacing w:after="80"/>
        <w:ind w:left="680"/>
        <w:rPr>
          <w:u w:val="single"/>
        </w:rPr>
      </w:pPr>
      <w:r>
        <w:rPr>
          <w:u w:val="single"/>
        </w:rPr>
        <w:tab/>
      </w:r>
    </w:p>
  </w:footnote>
  <w:footnote w:type="continuationNotice" w:id="1">
    <w:p w:rsidR="001443FE" w:rsidRDefault="001443FE"/>
  </w:footnote>
  <w:footnote w:id="2">
    <w:p w:rsidR="008518FD" w:rsidRPr="00411345" w:rsidRDefault="008518FD" w:rsidP="00FC0346">
      <w:pPr>
        <w:pStyle w:val="FootnoteText"/>
        <w:rPr>
          <w:lang w:val="es-ES"/>
        </w:rPr>
      </w:pPr>
      <w:r w:rsidRPr="00411345">
        <w:rPr>
          <w:lang w:val="en-US"/>
        </w:rPr>
        <w:tab/>
      </w:r>
      <w:r>
        <w:rPr>
          <w:rStyle w:val="FootnoteReference"/>
        </w:rPr>
        <w:footnoteRef/>
      </w:r>
      <w:r w:rsidRPr="00411345">
        <w:rPr>
          <w:lang w:val="es-ES"/>
        </w:rPr>
        <w:tab/>
      </w:r>
      <w:r>
        <w:rPr>
          <w:lang w:val="es-ES"/>
        </w:rPr>
        <w:t xml:space="preserve">General Assembly resolution </w:t>
      </w:r>
      <w:r w:rsidRPr="00996CFF">
        <w:t>ES-10/14</w:t>
      </w:r>
      <w:r>
        <w:rPr>
          <w:lang w:val="es-ES"/>
        </w:rPr>
        <w:t>.</w:t>
      </w:r>
    </w:p>
  </w:footnote>
  <w:footnote w:id="3">
    <w:p w:rsidR="008518FD" w:rsidRPr="00996CFF" w:rsidRDefault="008518FD" w:rsidP="007F5C54">
      <w:pPr>
        <w:pStyle w:val="FootnoteText"/>
      </w:pPr>
      <w:r w:rsidRPr="00360FE6">
        <w:rPr>
          <w:lang w:val="es-ES"/>
        </w:rPr>
        <w:tab/>
      </w:r>
      <w:r>
        <w:rPr>
          <w:rStyle w:val="FootnoteReference"/>
        </w:rPr>
        <w:footnoteRef/>
      </w:r>
      <w:r w:rsidRPr="00360FE6">
        <w:rPr>
          <w:lang w:val="es-ES"/>
        </w:rPr>
        <w:tab/>
      </w:r>
      <w:hyperlink r:id="rId1" w:history="1">
        <w:r>
          <w:rPr>
            <w:rStyle w:val="Hyperlink"/>
          </w:rPr>
          <w:t xml:space="preserve">See </w:t>
        </w:r>
        <w:r w:rsidRPr="00D258A7">
          <w:rPr>
            <w:rStyle w:val="Hyperlink"/>
          </w:rPr>
          <w:t>www.securityfence.mod.gov.il/Pages/ENG/route.htm</w:t>
        </w:r>
      </w:hyperlink>
      <w:r>
        <w:t>.</w:t>
      </w:r>
    </w:p>
  </w:footnote>
  <w:footnote w:id="4">
    <w:p w:rsidR="008518FD" w:rsidRPr="00360FE6" w:rsidRDefault="008518FD" w:rsidP="007F5C54">
      <w:pPr>
        <w:pStyle w:val="FootnoteText"/>
        <w:rPr>
          <w:lang w:val="en-US"/>
        </w:rPr>
      </w:pPr>
      <w:r w:rsidRPr="00360FE6">
        <w:rPr>
          <w:lang w:val="en-US"/>
        </w:rPr>
        <w:tab/>
      </w:r>
      <w:r>
        <w:rPr>
          <w:rStyle w:val="FootnoteReference"/>
        </w:rPr>
        <w:footnoteRef/>
      </w:r>
      <w:r w:rsidRPr="00360FE6">
        <w:rPr>
          <w:lang w:val="en-US"/>
        </w:rPr>
        <w:tab/>
        <w:t xml:space="preserve">Some decisions of the Israeli High Court have reconnected communities with the </w:t>
      </w:r>
      <w:smartTag w:uri="urn:schemas-microsoft-com:office:smarttags" w:element="place">
        <w:r w:rsidRPr="00360FE6">
          <w:rPr>
            <w:lang w:val="en-US"/>
          </w:rPr>
          <w:t>West Bank</w:t>
        </w:r>
      </w:smartTag>
      <w:r w:rsidRPr="00360FE6">
        <w:rPr>
          <w:lang w:val="en-US"/>
        </w:rPr>
        <w:t xml:space="preserve">. </w:t>
      </w:r>
      <w:r w:rsidRPr="00AF56AC">
        <w:rPr>
          <w:lang w:val="en-US"/>
        </w:rPr>
        <w:t>Office for the Coordination of Humanitarian Affairs</w:t>
      </w:r>
      <w:r>
        <w:rPr>
          <w:lang w:val="en-US"/>
        </w:rPr>
        <w:t xml:space="preserve"> office in the occupied Palestinian territory (</w:t>
      </w:r>
      <w:r w:rsidRPr="00360FE6">
        <w:rPr>
          <w:lang w:val="en-US"/>
        </w:rPr>
        <w:t>OCHA</w:t>
      </w:r>
      <w:r>
        <w:rPr>
          <w:lang w:val="en-US"/>
        </w:rPr>
        <w:t>-oPt)</w:t>
      </w:r>
      <w:r w:rsidRPr="00360FE6">
        <w:rPr>
          <w:lang w:val="en-US"/>
        </w:rPr>
        <w:t>, Barrier Update (July 2011), p.</w:t>
      </w:r>
      <w:r>
        <w:rPr>
          <w:lang w:val="en-US"/>
        </w:rPr>
        <w:t xml:space="preserve"> 5. </w:t>
      </w:r>
    </w:p>
  </w:footnote>
  <w:footnote w:id="5">
    <w:p w:rsidR="008518FD" w:rsidRPr="00996CFF" w:rsidRDefault="008518FD" w:rsidP="007F5C54">
      <w:pPr>
        <w:pStyle w:val="FootnoteText"/>
      </w:pPr>
      <w:r w:rsidRPr="00360FE6">
        <w:rPr>
          <w:lang w:val="en-US"/>
        </w:rPr>
        <w:tab/>
      </w:r>
      <w:r>
        <w:rPr>
          <w:rStyle w:val="FootnoteReference"/>
        </w:rPr>
        <w:footnoteRef/>
      </w:r>
      <w:r w:rsidRPr="00360FE6">
        <w:rPr>
          <w:lang w:val="en-US"/>
        </w:rPr>
        <w:tab/>
      </w:r>
      <w:r>
        <w:rPr>
          <w:lang w:val="en-US"/>
        </w:rPr>
        <w:t xml:space="preserve">See </w:t>
      </w:r>
      <w:r>
        <w:t>www.ochaopt.org/documents/ochaopt_atlas_barrier_affecting_palestinians_december2011.pdf.</w:t>
      </w:r>
    </w:p>
  </w:footnote>
  <w:footnote w:id="6">
    <w:p w:rsidR="008518FD" w:rsidRPr="00360FE6" w:rsidRDefault="008518FD" w:rsidP="00411345">
      <w:pPr>
        <w:pStyle w:val="FootnoteText"/>
        <w:rPr>
          <w:lang w:val="en-US"/>
        </w:rPr>
      </w:pPr>
      <w:r w:rsidRPr="00360FE6">
        <w:rPr>
          <w:lang w:val="en-US"/>
        </w:rPr>
        <w:tab/>
      </w:r>
      <w:r>
        <w:rPr>
          <w:rStyle w:val="FootnoteReference"/>
        </w:rPr>
        <w:footnoteRef/>
      </w:r>
      <w:r w:rsidRPr="00360FE6">
        <w:rPr>
          <w:lang w:val="en-US"/>
        </w:rPr>
        <w:tab/>
      </w:r>
      <w:r w:rsidRPr="001A07AC">
        <w:t xml:space="preserve">A </w:t>
      </w:r>
      <w:r w:rsidRPr="00AF4890">
        <w:t xml:space="preserve">designated </w:t>
      </w:r>
      <w:r>
        <w:t>“</w:t>
      </w:r>
      <w:r w:rsidRPr="00AF4890">
        <w:t>closed military zone</w:t>
      </w:r>
      <w:r>
        <w:t>”</w:t>
      </w:r>
      <w:r w:rsidRPr="001A07AC">
        <w:t xml:space="preserve"> </w:t>
      </w:r>
      <w:r w:rsidRPr="00AF4890">
        <w:t>between the wall and the Green Line</w:t>
      </w:r>
      <w:r>
        <w:t>.</w:t>
      </w:r>
    </w:p>
  </w:footnote>
  <w:footnote w:id="7">
    <w:p w:rsidR="008518FD" w:rsidRPr="00360FE6" w:rsidRDefault="008518FD" w:rsidP="007F5C54">
      <w:pPr>
        <w:pStyle w:val="FootnoteText"/>
        <w:rPr>
          <w:lang w:val="en-US"/>
        </w:rPr>
      </w:pPr>
      <w:r w:rsidRPr="00360FE6">
        <w:rPr>
          <w:lang w:val="en-US"/>
        </w:rPr>
        <w:tab/>
      </w:r>
      <w:r>
        <w:rPr>
          <w:rStyle w:val="FootnoteReference"/>
        </w:rPr>
        <w:footnoteRef/>
      </w:r>
      <w:r w:rsidRPr="00360FE6">
        <w:rPr>
          <w:lang w:val="en-US"/>
        </w:rPr>
        <w:tab/>
      </w:r>
      <w:r>
        <w:rPr>
          <w:lang w:val="en-US"/>
        </w:rPr>
        <w:t xml:space="preserve">See HaMoked: Center for the Defence of the Individual, “The permit regime: human rights violations in </w:t>
      </w:r>
      <w:smartTag w:uri="urn:schemas-microsoft-com:office:smarttags" w:element="place">
        <w:r>
          <w:rPr>
            <w:lang w:val="en-US"/>
          </w:rPr>
          <w:t>West Bank</w:t>
        </w:r>
      </w:smartTag>
      <w:r>
        <w:rPr>
          <w:lang w:val="en-US"/>
        </w:rPr>
        <w:t xml:space="preserve"> areas known as the ‘seam zone’ ”</w:t>
      </w:r>
      <w:r>
        <w:t xml:space="preserve"> </w:t>
      </w:r>
      <w:r>
        <w:rPr>
          <w:lang w:val="en-US"/>
        </w:rPr>
        <w:t xml:space="preserve">(2013). </w:t>
      </w:r>
      <w:r w:rsidRPr="00AF4890">
        <w:t>www.hamoked.org/files/2013/1157660_eng.pdf</w:t>
      </w:r>
      <w:r>
        <w:t>.</w:t>
      </w:r>
    </w:p>
  </w:footnote>
  <w:footnote w:id="8">
    <w:p w:rsidR="008518FD" w:rsidRPr="00996CFF" w:rsidRDefault="008518FD" w:rsidP="007F5C54">
      <w:pPr>
        <w:pStyle w:val="FootnoteText"/>
      </w:pPr>
      <w:r w:rsidRPr="00360FE6">
        <w:rPr>
          <w:lang w:val="en-US"/>
        </w:rPr>
        <w:tab/>
      </w:r>
      <w:r>
        <w:rPr>
          <w:rStyle w:val="FootnoteReference"/>
        </w:rPr>
        <w:footnoteRef/>
      </w:r>
      <w:r w:rsidRPr="00360FE6">
        <w:rPr>
          <w:lang w:val="en-US"/>
        </w:rPr>
        <w:tab/>
      </w:r>
      <w:r>
        <w:rPr>
          <w:lang w:val="en-US"/>
        </w:rPr>
        <w:t xml:space="preserve">See </w:t>
      </w:r>
      <w:r>
        <w:t>www.securityfence.mod.gov.il/Pages/ENG/route.htm.</w:t>
      </w:r>
    </w:p>
  </w:footnote>
  <w:footnote w:id="9">
    <w:p w:rsidR="008518FD" w:rsidRPr="00360FE6" w:rsidRDefault="008518FD" w:rsidP="00AF672A">
      <w:pPr>
        <w:pStyle w:val="FootnoteText"/>
        <w:rPr>
          <w:lang w:val="en-US"/>
        </w:rPr>
      </w:pPr>
      <w:r w:rsidRPr="00360FE6">
        <w:rPr>
          <w:lang w:val="en-US"/>
        </w:rPr>
        <w:tab/>
      </w:r>
      <w:r>
        <w:rPr>
          <w:rStyle w:val="FootnoteReference"/>
        </w:rPr>
        <w:footnoteRef/>
      </w:r>
      <w:r w:rsidRPr="00360FE6">
        <w:rPr>
          <w:lang w:val="en-US"/>
        </w:rPr>
        <w:tab/>
      </w:r>
      <w:r>
        <w:t>OCHA-oPt, Barrier Update</w:t>
      </w:r>
      <w:r>
        <w:rPr>
          <w:lang w:val="en-GB"/>
        </w:rPr>
        <w:t>,</w:t>
      </w:r>
      <w:r>
        <w:t xml:space="preserve"> p</w:t>
      </w:r>
      <w:r w:rsidRPr="004F6E5A">
        <w:t>.</w:t>
      </w:r>
      <w:r>
        <w:t> 8;</w:t>
      </w:r>
      <w:r>
        <w:rPr>
          <w:lang w:val="en-US"/>
        </w:rPr>
        <w:t xml:space="preserve"> HaMoked, “The permit regime”, pp. 14–15. See</w:t>
      </w:r>
      <w:r w:rsidRPr="00360FE6">
        <w:rPr>
          <w:lang w:val="en-US"/>
        </w:rPr>
        <w:t xml:space="preserve"> </w:t>
      </w:r>
      <w:r>
        <w:rPr>
          <w:lang w:val="en-US"/>
        </w:rPr>
        <w:t>a</w:t>
      </w:r>
      <w:r w:rsidRPr="00360FE6">
        <w:rPr>
          <w:lang w:val="en-US"/>
        </w:rPr>
        <w:t>lso V</w:t>
      </w:r>
      <w:r>
        <w:rPr>
          <w:lang w:val="en-US"/>
        </w:rPr>
        <w:t>irginia </w:t>
      </w:r>
      <w:r w:rsidRPr="00360FE6">
        <w:rPr>
          <w:lang w:val="en-US"/>
        </w:rPr>
        <w:t>Tilley</w:t>
      </w:r>
      <w:r>
        <w:rPr>
          <w:lang w:val="en-US"/>
        </w:rPr>
        <w:t xml:space="preserve"> (ed.)</w:t>
      </w:r>
      <w:r w:rsidRPr="00360FE6">
        <w:rPr>
          <w:lang w:val="en-US"/>
        </w:rPr>
        <w:t xml:space="preserve">, </w:t>
      </w:r>
      <w:r w:rsidRPr="00360FE6">
        <w:rPr>
          <w:i/>
          <w:lang w:val="en-US"/>
        </w:rPr>
        <w:t>Beyond Occupation</w:t>
      </w:r>
      <w:r w:rsidRPr="00360FE6">
        <w:rPr>
          <w:lang w:val="en-US"/>
        </w:rPr>
        <w:t xml:space="preserve"> </w:t>
      </w:r>
      <w:r>
        <w:rPr>
          <w:lang w:val="en-US"/>
        </w:rPr>
        <w:t>(</w:t>
      </w:r>
      <w:r w:rsidRPr="00360FE6">
        <w:rPr>
          <w:lang w:val="en-US"/>
        </w:rPr>
        <w:t>2012</w:t>
      </w:r>
      <w:r>
        <w:rPr>
          <w:lang w:val="en-US"/>
        </w:rPr>
        <w:t>),</w:t>
      </w:r>
      <w:r w:rsidRPr="00360FE6">
        <w:rPr>
          <w:lang w:val="en-US"/>
        </w:rPr>
        <w:t xml:space="preserve"> p</w:t>
      </w:r>
      <w:r>
        <w:rPr>
          <w:lang w:val="en-US"/>
        </w:rPr>
        <w:t>p</w:t>
      </w:r>
      <w:r w:rsidRPr="00360FE6">
        <w:rPr>
          <w:lang w:val="en-US"/>
        </w:rPr>
        <w:t>.</w:t>
      </w:r>
      <w:r>
        <w:rPr>
          <w:lang w:val="en-US"/>
        </w:rPr>
        <w:t> </w:t>
      </w:r>
      <w:r w:rsidRPr="00360FE6">
        <w:rPr>
          <w:lang w:val="en-US"/>
        </w:rPr>
        <w:t>151</w:t>
      </w:r>
      <w:r>
        <w:rPr>
          <w:lang w:val="en-US"/>
        </w:rPr>
        <w:noBreakHyphen/>
      </w:r>
      <w:r w:rsidRPr="00360FE6">
        <w:rPr>
          <w:lang w:val="en-US"/>
        </w:rPr>
        <w:t>155</w:t>
      </w:r>
      <w:r>
        <w:rPr>
          <w:lang w:val="en-US"/>
        </w:rPr>
        <w:t>.</w:t>
      </w:r>
    </w:p>
  </w:footnote>
  <w:footnote w:id="10">
    <w:p w:rsidR="008518FD" w:rsidRDefault="008518FD" w:rsidP="00411345">
      <w:pPr>
        <w:pStyle w:val="FootnoteText"/>
      </w:pPr>
      <w:r w:rsidRPr="00360FE6">
        <w:rPr>
          <w:lang w:val="en-US"/>
        </w:rPr>
        <w:tab/>
      </w:r>
      <w:r>
        <w:rPr>
          <w:rStyle w:val="FootnoteReference"/>
        </w:rPr>
        <w:footnoteRef/>
      </w:r>
      <w:r w:rsidRPr="00360FE6">
        <w:rPr>
          <w:lang w:val="en-US"/>
        </w:rPr>
        <w:tab/>
      </w:r>
      <w:r>
        <w:t>OCHA, Barrier Update</w:t>
      </w:r>
      <w:r>
        <w:rPr>
          <w:lang w:val="en-GB"/>
        </w:rPr>
        <w:t>,</w:t>
      </w:r>
      <w:r>
        <w:t xml:space="preserve"> p. 14.</w:t>
      </w:r>
    </w:p>
  </w:footnote>
  <w:footnote w:id="11">
    <w:p w:rsidR="008518FD" w:rsidRDefault="008518FD" w:rsidP="007F5C54">
      <w:pPr>
        <w:pStyle w:val="FootnoteText"/>
      </w:pPr>
      <w:r w:rsidRPr="00360FE6">
        <w:rPr>
          <w:lang w:val="en-US"/>
        </w:rPr>
        <w:tab/>
      </w:r>
      <w:r>
        <w:rPr>
          <w:rStyle w:val="FootnoteReference"/>
        </w:rPr>
        <w:footnoteRef/>
      </w:r>
      <w:r w:rsidRPr="00360FE6">
        <w:rPr>
          <w:lang w:val="en-US"/>
        </w:rPr>
        <w:tab/>
      </w:r>
      <w:r>
        <w:t>Documentation collected by OHCHR.</w:t>
      </w:r>
    </w:p>
  </w:footnote>
  <w:footnote w:id="12">
    <w:p w:rsidR="008518FD" w:rsidRDefault="008518FD" w:rsidP="007F5C54">
      <w:pPr>
        <w:pStyle w:val="FootnoteText"/>
      </w:pPr>
      <w:r w:rsidRPr="00360FE6">
        <w:rPr>
          <w:lang w:val="en-US"/>
        </w:rPr>
        <w:tab/>
      </w:r>
      <w:r>
        <w:rPr>
          <w:rStyle w:val="FootnoteReference"/>
        </w:rPr>
        <w:footnoteRef/>
      </w:r>
      <w:r w:rsidRPr="00360FE6">
        <w:rPr>
          <w:lang w:val="en-US"/>
        </w:rPr>
        <w:tab/>
      </w:r>
      <w:r>
        <w:rPr>
          <w:lang w:val="en-US"/>
        </w:rPr>
        <w:t xml:space="preserve">See </w:t>
      </w:r>
      <w:r>
        <w:t>www.unrwa.org/galleries/photos/nabi-samuel-“we-are-living-inside-prison.</w:t>
      </w:r>
    </w:p>
  </w:footnote>
  <w:footnote w:id="13">
    <w:p w:rsidR="008518FD" w:rsidRPr="00903BF6" w:rsidRDefault="008518FD" w:rsidP="007F5C54">
      <w:pPr>
        <w:pStyle w:val="FootnoteText"/>
        <w:rPr>
          <w:lang w:val="en-GB"/>
        </w:rPr>
      </w:pPr>
      <w:r w:rsidRPr="00360FE6">
        <w:rPr>
          <w:lang w:val="en-US"/>
        </w:rPr>
        <w:tab/>
      </w:r>
      <w:r>
        <w:rPr>
          <w:rStyle w:val="FootnoteReference"/>
        </w:rPr>
        <w:footnoteRef/>
      </w:r>
      <w:r w:rsidRPr="00360FE6">
        <w:rPr>
          <w:lang w:val="en-US"/>
        </w:rPr>
        <w:tab/>
      </w:r>
      <w:r>
        <w:rPr>
          <w:lang w:val="en-US"/>
        </w:rPr>
        <w:t xml:space="preserve">See </w:t>
      </w:r>
      <w:r w:rsidRPr="00004074">
        <w:t>www.alhaq.org/advocacy/topics/wall-and-jerusalem/594-visiting-a-ghost-town-drawing-attention-to-the-plight-of-al-numan-village</w:t>
      </w:r>
      <w:r>
        <w:t>.</w:t>
      </w:r>
    </w:p>
  </w:footnote>
  <w:footnote w:id="14">
    <w:p w:rsidR="008518FD" w:rsidRPr="00903BF6" w:rsidRDefault="008518FD" w:rsidP="007F5C54">
      <w:pPr>
        <w:pStyle w:val="FootnoteText"/>
        <w:rPr>
          <w:lang w:val="en-GB"/>
        </w:rPr>
      </w:pPr>
      <w:r w:rsidRPr="00360FE6">
        <w:rPr>
          <w:lang w:val="en-US"/>
        </w:rPr>
        <w:tab/>
      </w:r>
      <w:r>
        <w:rPr>
          <w:rStyle w:val="FootnoteReference"/>
        </w:rPr>
        <w:footnoteRef/>
      </w:r>
      <w:r w:rsidRPr="00360FE6">
        <w:rPr>
          <w:lang w:val="en-US"/>
        </w:rPr>
        <w:tab/>
      </w:r>
      <w:r w:rsidRPr="00360FE6">
        <w:rPr>
          <w:spacing w:val="-2"/>
        </w:rPr>
        <w:t>Available from www.alhaq.org/10yrs/images/stories/PDF_Files/2%20Al-Numan%20Village%20-%20a%20case%20study%20of%20indirect%20forcible%20transfer%20-%20November%202006.pdf.</w:t>
      </w:r>
    </w:p>
  </w:footnote>
  <w:footnote w:id="15">
    <w:p w:rsidR="008518FD" w:rsidRPr="00996CFF" w:rsidRDefault="008518FD" w:rsidP="007F5C54">
      <w:pPr>
        <w:pStyle w:val="FootnoteText"/>
      </w:pPr>
      <w:r w:rsidRPr="00360FE6">
        <w:rPr>
          <w:lang w:val="en-US"/>
        </w:rPr>
        <w:tab/>
      </w:r>
      <w:r>
        <w:rPr>
          <w:rStyle w:val="FootnoteReference"/>
        </w:rPr>
        <w:footnoteRef/>
      </w:r>
      <w:r w:rsidRPr="00360FE6">
        <w:rPr>
          <w:lang w:val="en-US"/>
        </w:rPr>
        <w:tab/>
      </w:r>
      <w:r>
        <w:rPr>
          <w:lang w:val="en-US"/>
        </w:rPr>
        <w:t>OCHA-oPt, “The humanitarian impact of the barrier” (July 2012), p. 1 (</w:t>
      </w:r>
      <w:r>
        <w:t>www.ochaopt.org/documents/ocha_opt_barrier_factsheet_july_2012_english.pdf).</w:t>
      </w:r>
    </w:p>
  </w:footnote>
  <w:footnote w:id="16">
    <w:p w:rsidR="008518FD" w:rsidRPr="00996CFF" w:rsidRDefault="008518FD" w:rsidP="007F5C54">
      <w:pPr>
        <w:pStyle w:val="FootnoteText"/>
      </w:pPr>
      <w:r w:rsidRPr="00360FE6">
        <w:rPr>
          <w:lang w:val="en-US"/>
        </w:rPr>
        <w:tab/>
      </w:r>
      <w:r>
        <w:rPr>
          <w:rStyle w:val="FootnoteReference"/>
        </w:rPr>
        <w:footnoteRef/>
      </w:r>
      <w:r w:rsidRPr="00360FE6">
        <w:rPr>
          <w:lang w:val="en-US"/>
        </w:rPr>
        <w:tab/>
      </w:r>
      <w:r w:rsidRPr="00996CFF">
        <w:t>The S</w:t>
      </w:r>
      <w:r>
        <w:rPr>
          <w:lang w:val="en-GB"/>
        </w:rPr>
        <w:t xml:space="preserve">pecial </w:t>
      </w:r>
      <w:r w:rsidRPr="00996CFF">
        <w:t>R</w:t>
      </w:r>
      <w:r>
        <w:rPr>
          <w:lang w:val="en-GB"/>
        </w:rPr>
        <w:t>apporteur</w:t>
      </w:r>
      <w:r w:rsidRPr="00996CFF">
        <w:t xml:space="preserve"> </w:t>
      </w:r>
      <w:r w:rsidRPr="00360FE6">
        <w:rPr>
          <w:lang w:val="en-US"/>
        </w:rPr>
        <w:t>believes</w:t>
      </w:r>
      <w:r>
        <w:rPr>
          <w:lang w:val="en-US"/>
        </w:rPr>
        <w:t xml:space="preserve"> that</w:t>
      </w:r>
      <w:r w:rsidRPr="00360FE6">
        <w:rPr>
          <w:lang w:val="en-US"/>
        </w:rPr>
        <w:t xml:space="preserve"> </w:t>
      </w:r>
      <w:r w:rsidRPr="00996CFF">
        <w:t>both</w:t>
      </w:r>
      <w:r>
        <w:t xml:space="preserve"> the</w:t>
      </w:r>
      <w:r w:rsidRPr="00996CFF">
        <w:t xml:space="preserve"> re-routing</w:t>
      </w:r>
      <w:r w:rsidRPr="00360FE6">
        <w:rPr>
          <w:lang w:val="en-US"/>
        </w:rPr>
        <w:t>s</w:t>
      </w:r>
      <w:r w:rsidRPr="00996CFF">
        <w:t xml:space="preserve"> of sections of the wall and Palestinians leaving due to the wall and its associated regime have</w:t>
      </w:r>
      <w:r>
        <w:t xml:space="preserve"> </w:t>
      </w:r>
      <w:r>
        <w:rPr>
          <w:lang w:val="en-US"/>
        </w:rPr>
        <w:t>contributed to</w:t>
      </w:r>
      <w:r w:rsidRPr="00360FE6">
        <w:rPr>
          <w:lang w:val="en-US"/>
        </w:rPr>
        <w:t xml:space="preserve"> the decrease in numbers</w:t>
      </w:r>
      <w:r w:rsidRPr="00996CFF">
        <w:t>.</w:t>
      </w:r>
    </w:p>
  </w:footnote>
  <w:footnote w:id="17">
    <w:p w:rsidR="008518FD" w:rsidRPr="00996CFF" w:rsidRDefault="008518FD" w:rsidP="007F5C54">
      <w:pPr>
        <w:pStyle w:val="FootnoteText"/>
      </w:pPr>
      <w:r w:rsidRPr="00360FE6">
        <w:rPr>
          <w:lang w:val="en-US"/>
        </w:rPr>
        <w:tab/>
      </w:r>
      <w:r>
        <w:rPr>
          <w:rStyle w:val="FootnoteReference"/>
        </w:rPr>
        <w:footnoteRef/>
      </w:r>
      <w:r w:rsidRPr="00360FE6">
        <w:rPr>
          <w:lang w:val="en-US"/>
        </w:rPr>
        <w:tab/>
      </w:r>
      <w:r w:rsidRPr="00ED01E0">
        <w:t>OCHA</w:t>
      </w:r>
      <w:r>
        <w:t>-oPt</w:t>
      </w:r>
      <w:r w:rsidRPr="00ED01E0">
        <w:t>, Barrier Update</w:t>
      </w:r>
      <w:r>
        <w:rPr>
          <w:lang w:val="en-GB"/>
        </w:rPr>
        <w:t>,</w:t>
      </w:r>
      <w:r>
        <w:t xml:space="preserve"> p</w:t>
      </w:r>
      <w:r w:rsidRPr="00ED01E0">
        <w:t>.</w:t>
      </w:r>
      <w:r>
        <w:t> </w:t>
      </w:r>
      <w:r w:rsidRPr="00ED01E0">
        <w:t>1</w:t>
      </w:r>
      <w:r>
        <w:t>1.</w:t>
      </w:r>
    </w:p>
  </w:footnote>
  <w:footnote w:id="18">
    <w:p w:rsidR="008518FD" w:rsidRDefault="008518FD" w:rsidP="007F5C54">
      <w:pPr>
        <w:pStyle w:val="FootnoteText"/>
      </w:pPr>
      <w:r w:rsidRPr="00360FE6">
        <w:rPr>
          <w:lang w:val="en-US"/>
        </w:rPr>
        <w:tab/>
      </w:r>
      <w:r>
        <w:rPr>
          <w:rStyle w:val="FootnoteReference"/>
        </w:rPr>
        <w:footnoteRef/>
      </w:r>
      <w:r w:rsidRPr="00360FE6">
        <w:rPr>
          <w:lang w:val="en-US"/>
        </w:rPr>
        <w:tab/>
      </w:r>
      <w:hyperlink r:id="rId2" w:history="1">
        <w:r>
          <w:rPr>
            <w:rStyle w:val="Hyperlink"/>
          </w:rPr>
          <w:t>See Palestinian Grassroots Anti-apartheid Wall Campaign, www.stopthewall.org/2013/04/07/further-suppression-demonstrations-occupation</w:t>
        </w:r>
      </w:hyperlink>
      <w:r>
        <w:t xml:space="preserve">; B’Tselem, </w:t>
      </w:r>
      <w:r w:rsidRPr="00360FE6">
        <w:t>www.btselem.org/demonstrations</w:t>
      </w:r>
      <w:r>
        <w:t xml:space="preserve">; and the </w:t>
      </w:r>
      <w:r w:rsidRPr="00996CFF">
        <w:t xml:space="preserve">Russell </w:t>
      </w:r>
      <w:r w:rsidRPr="00360FE6">
        <w:rPr>
          <w:lang w:val="en-US"/>
        </w:rPr>
        <w:t>T</w:t>
      </w:r>
      <w:r w:rsidRPr="00996CFF">
        <w:t>ribunal</w:t>
      </w:r>
      <w:r>
        <w:t xml:space="preserve"> on Palestine</w:t>
      </w:r>
      <w:r w:rsidRPr="00996CFF">
        <w:t xml:space="preserve">, </w:t>
      </w:r>
      <w:r w:rsidRPr="00360FE6">
        <w:rPr>
          <w:i/>
        </w:rPr>
        <w:t>Findings of the South Africa Session</w:t>
      </w:r>
      <w:r>
        <w:rPr>
          <w:lang w:val="en-GB"/>
        </w:rPr>
        <w:t xml:space="preserve"> (</w:t>
      </w:r>
      <w:r w:rsidRPr="00996CFF">
        <w:t>2011</w:t>
      </w:r>
      <w:r>
        <w:rPr>
          <w:lang w:val="en-GB"/>
        </w:rPr>
        <w:t>)</w:t>
      </w:r>
      <w:r w:rsidRPr="00996CFF">
        <w:t>.</w:t>
      </w:r>
    </w:p>
  </w:footnote>
  <w:footnote w:id="19">
    <w:p w:rsidR="008518FD" w:rsidRDefault="008518FD" w:rsidP="007F5C54">
      <w:pPr>
        <w:pStyle w:val="FootnoteText"/>
      </w:pPr>
      <w:r w:rsidRPr="00360FE6">
        <w:rPr>
          <w:lang w:val="en-US"/>
        </w:rPr>
        <w:tab/>
      </w:r>
      <w:r>
        <w:rPr>
          <w:rStyle w:val="FootnoteReference"/>
        </w:rPr>
        <w:footnoteRef/>
      </w:r>
      <w:r w:rsidRPr="00360FE6">
        <w:rPr>
          <w:lang w:val="en-US"/>
        </w:rPr>
        <w:tab/>
      </w:r>
      <w:r>
        <w:rPr>
          <w:lang w:val="en-US"/>
        </w:rPr>
        <w:t xml:space="preserve">See </w:t>
      </w:r>
      <w:r w:rsidRPr="00443E92">
        <w:t>www.bilin-ffj.org/index.php?option=com_content&amp;task=</w:t>
      </w:r>
      <w:r>
        <w:t xml:space="preserve"> </w:t>
      </w:r>
      <w:r w:rsidRPr="00443E92">
        <w:t>blogcategory&amp;id=15&amp;Itemid=34</w:t>
      </w:r>
      <w:r>
        <w:t>.</w:t>
      </w:r>
      <w:r w:rsidRPr="00443E92" w:rsidDel="00411345">
        <w:t xml:space="preserve"> </w:t>
      </w:r>
    </w:p>
  </w:footnote>
  <w:footnote w:id="20">
    <w:p w:rsidR="008518FD" w:rsidRPr="00360FE6" w:rsidRDefault="008518FD" w:rsidP="00DE2621">
      <w:pPr>
        <w:pStyle w:val="FootnoteText"/>
        <w:rPr>
          <w:lang w:val="en-US"/>
        </w:rPr>
      </w:pPr>
      <w:r w:rsidRPr="00360FE6">
        <w:rPr>
          <w:lang w:val="en-US"/>
        </w:rPr>
        <w:tab/>
      </w:r>
      <w:r w:rsidRPr="00815FF7">
        <w:rPr>
          <w:rStyle w:val="FootnoteReference"/>
        </w:rPr>
        <w:footnoteRef/>
      </w:r>
      <w:r w:rsidRPr="00360FE6">
        <w:rPr>
          <w:rStyle w:val="FootnoteReference"/>
          <w:lang w:val="en-US"/>
        </w:rPr>
        <w:tab/>
      </w:r>
      <w:r w:rsidRPr="001A07AC">
        <w:t xml:space="preserve">Rules and Regulations </w:t>
      </w:r>
      <w:r>
        <w:t>G</w:t>
      </w:r>
      <w:r w:rsidRPr="001A07AC">
        <w:t xml:space="preserve">overning the </w:t>
      </w:r>
      <w:r>
        <w:t>R</w:t>
      </w:r>
      <w:r w:rsidRPr="001A07AC">
        <w:t xml:space="preserve">egistration of </w:t>
      </w:r>
      <w:r>
        <w:t>C</w:t>
      </w:r>
      <w:r w:rsidRPr="001A07AC">
        <w:t>laims, art</w:t>
      </w:r>
      <w:r>
        <w:t>. </w:t>
      </w:r>
      <w:r w:rsidRPr="001A07AC">
        <w:t>11</w:t>
      </w:r>
      <w:r>
        <w:t xml:space="preserve">, para. </w:t>
      </w:r>
      <w:r w:rsidRPr="001A07AC">
        <w:t>1.</w:t>
      </w:r>
      <w:r>
        <w:t xml:space="preserve"> Available from </w:t>
      </w:r>
      <w:r w:rsidRPr="005E669F">
        <w:t>www.unrod.org/docs/UNRoD%20Rules%20and%20Regulations.pdf</w:t>
      </w:r>
      <w:r>
        <w:t>.</w:t>
      </w:r>
    </w:p>
  </w:footnote>
  <w:footnote w:id="21">
    <w:p w:rsidR="008518FD" w:rsidRPr="00F16CE2" w:rsidRDefault="008518FD" w:rsidP="007F5C54">
      <w:pPr>
        <w:pStyle w:val="FootnoteText"/>
      </w:pPr>
      <w:r w:rsidRPr="00360FE6">
        <w:rPr>
          <w:lang w:val="en-US"/>
        </w:rPr>
        <w:tab/>
      </w:r>
      <w:r>
        <w:rPr>
          <w:rStyle w:val="FootnoteReference"/>
        </w:rPr>
        <w:footnoteRef/>
      </w:r>
      <w:r w:rsidRPr="00360FE6">
        <w:rPr>
          <w:lang w:val="en-US"/>
        </w:rPr>
        <w:tab/>
      </w:r>
      <w:r>
        <w:t>Outposts are settlements which, although often established with some kind of Government support, are not officially recognized under Israeli law.</w:t>
      </w:r>
    </w:p>
  </w:footnote>
  <w:footnote w:id="22">
    <w:p w:rsidR="008518FD" w:rsidRPr="0054667D" w:rsidRDefault="008518FD" w:rsidP="007F5C54">
      <w:pPr>
        <w:pStyle w:val="FootnoteText"/>
      </w:pPr>
      <w:r w:rsidRPr="00360FE6">
        <w:rPr>
          <w:lang w:val="en-US"/>
        </w:rPr>
        <w:tab/>
      </w:r>
      <w:r>
        <w:rPr>
          <w:rStyle w:val="FootnoteReference"/>
        </w:rPr>
        <w:footnoteRef/>
      </w:r>
      <w:r w:rsidRPr="00360FE6">
        <w:rPr>
          <w:lang w:val="en-US"/>
        </w:rPr>
        <w:tab/>
      </w:r>
      <w:r>
        <w:t>A/63/326, A/HRC/13/53/Rev.1, A/65/331, A/HRC/16/72, A/66/358, A/HRC/20/32.</w:t>
      </w:r>
    </w:p>
  </w:footnote>
  <w:footnote w:id="23">
    <w:p w:rsidR="008518FD" w:rsidRPr="00C53419" w:rsidRDefault="008518FD" w:rsidP="007F5C54">
      <w:pPr>
        <w:pStyle w:val="FootnoteText"/>
      </w:pPr>
      <w:r w:rsidRPr="00360FE6">
        <w:rPr>
          <w:lang w:val="en-US"/>
        </w:rPr>
        <w:tab/>
      </w:r>
      <w:r>
        <w:rPr>
          <w:rStyle w:val="FootnoteReference"/>
        </w:rPr>
        <w:footnoteRef/>
      </w:r>
      <w:r w:rsidRPr="00360FE6">
        <w:rPr>
          <w:lang w:val="en-US"/>
        </w:rPr>
        <w:tab/>
      </w:r>
      <w:r>
        <w:rPr>
          <w:lang w:val="en-US"/>
        </w:rPr>
        <w:t xml:space="preserve">See </w:t>
      </w:r>
      <w:r w:rsidRPr="00C53419">
        <w:t>www.jpost.com/Opinion/Editorials/Settlements-arent-the-problem-330306</w:t>
      </w:r>
      <w:r>
        <w:t>.</w:t>
      </w:r>
    </w:p>
  </w:footnote>
  <w:footnote w:id="24">
    <w:p w:rsidR="008518FD" w:rsidRPr="007C7DB2" w:rsidRDefault="008518FD" w:rsidP="007F5C54">
      <w:pPr>
        <w:pStyle w:val="FootnoteText"/>
      </w:pPr>
      <w:r w:rsidRPr="00360FE6">
        <w:rPr>
          <w:lang w:val="en-US"/>
        </w:rPr>
        <w:tab/>
      </w:r>
      <w:r>
        <w:rPr>
          <w:rStyle w:val="FootnoteReference"/>
        </w:rPr>
        <w:footnoteRef/>
      </w:r>
      <w:r w:rsidRPr="00360FE6">
        <w:rPr>
          <w:lang w:val="en-US"/>
        </w:rPr>
        <w:tab/>
      </w:r>
      <w:r>
        <w:t>A/HRC/25/38, A/HRC/25/40, A/68/</w:t>
      </w:r>
      <w:r w:rsidRPr="00DE4530">
        <w:t>502</w:t>
      </w:r>
      <w:r>
        <w:t xml:space="preserve"> and A/68/513.</w:t>
      </w:r>
    </w:p>
  </w:footnote>
  <w:footnote w:id="25">
    <w:p w:rsidR="008518FD" w:rsidRDefault="008518FD" w:rsidP="007F5C54">
      <w:pPr>
        <w:pStyle w:val="FootnoteText"/>
      </w:pPr>
      <w:r w:rsidRPr="00360FE6">
        <w:rPr>
          <w:lang w:val="en-US"/>
        </w:rPr>
        <w:tab/>
      </w:r>
      <w:r>
        <w:rPr>
          <w:rStyle w:val="FootnoteReference"/>
        </w:rPr>
        <w:footnoteRef/>
      </w:r>
      <w:r w:rsidRPr="00360FE6">
        <w:rPr>
          <w:lang w:val="en-US"/>
        </w:rPr>
        <w:tab/>
      </w:r>
      <w:r>
        <w:rPr>
          <w:lang w:val="en-US"/>
        </w:rPr>
        <w:t xml:space="preserve">See </w:t>
      </w:r>
      <w:r w:rsidRPr="006C4734">
        <w:t>http://peacenow.org/Bibis%20Settlements%20Boom%20-%20March-November%202013%20-%20FINAL.pdf</w:t>
      </w:r>
      <w:r>
        <w:t>.</w:t>
      </w:r>
    </w:p>
  </w:footnote>
  <w:footnote w:id="26">
    <w:p w:rsidR="008518FD" w:rsidRDefault="008518FD" w:rsidP="007F5C54">
      <w:pPr>
        <w:pStyle w:val="FootnoteText"/>
      </w:pPr>
      <w:r w:rsidRPr="00360FE6">
        <w:rPr>
          <w:lang w:val="en-US"/>
        </w:rPr>
        <w:tab/>
      </w:r>
      <w:r>
        <w:rPr>
          <w:rStyle w:val="FootnoteReference"/>
        </w:rPr>
        <w:footnoteRef/>
      </w:r>
      <w:r w:rsidRPr="00360FE6">
        <w:rPr>
          <w:lang w:val="en-US"/>
        </w:rPr>
        <w:tab/>
      </w:r>
      <w:r>
        <w:rPr>
          <w:lang w:val="en-US"/>
        </w:rPr>
        <w:t xml:space="preserve">See </w:t>
      </w:r>
      <w:r w:rsidRPr="00512FC1">
        <w:t>http://peacenow.org.il/eng/sites/default/files/summary-of-4-years-of-netanyahu-government.pdf</w:t>
      </w:r>
      <w:r>
        <w:t>.</w:t>
      </w:r>
    </w:p>
  </w:footnote>
  <w:footnote w:id="27">
    <w:p w:rsidR="008518FD" w:rsidRDefault="008518FD" w:rsidP="003725A1">
      <w:pPr>
        <w:pStyle w:val="FootnoteText"/>
        <w:contextualSpacing/>
      </w:pPr>
      <w:r w:rsidRPr="00411345">
        <w:rPr>
          <w:lang w:val="en-US"/>
        </w:rPr>
        <w:tab/>
      </w:r>
      <w:r>
        <w:rPr>
          <w:rStyle w:val="FootnoteReference"/>
        </w:rPr>
        <w:footnoteRef/>
      </w:r>
      <w:r w:rsidRPr="00411345">
        <w:rPr>
          <w:lang w:val="en-US"/>
        </w:rPr>
        <w:tab/>
      </w:r>
      <w:r>
        <w:rPr>
          <w:lang w:val="en-US"/>
        </w:rPr>
        <w:t xml:space="preserve">See </w:t>
      </w:r>
      <w:hyperlink r:id="rId3" w:history="1">
        <w:r w:rsidRPr="00611511">
          <w:rPr>
            <w:rStyle w:val="Hyperlink"/>
          </w:rPr>
          <w:t>www.haaretz.com/news/diplomacy-defense/1.556645</w:t>
        </w:r>
      </w:hyperlink>
      <w:r>
        <w:t xml:space="preserve">; </w:t>
      </w:r>
      <w:hyperlink r:id="rId4" w:history="1">
        <w:r w:rsidRPr="00C4360B">
          <w:rPr>
            <w:rStyle w:val="Hyperlink"/>
          </w:rPr>
          <w:t>www.un.org/News/Press/docs/2013/ sgsm15427.doc.htm</w:t>
        </w:r>
      </w:hyperlink>
      <w:r>
        <w:t>.</w:t>
      </w:r>
    </w:p>
  </w:footnote>
  <w:footnote w:id="28">
    <w:p w:rsidR="008518FD" w:rsidRPr="00EA75AB" w:rsidRDefault="008518FD" w:rsidP="00411345">
      <w:pPr>
        <w:pStyle w:val="FootnoteText"/>
        <w:contextualSpacing/>
        <w:rPr>
          <w:lang w:val="en-US"/>
        </w:rPr>
      </w:pPr>
      <w:r w:rsidRPr="00360FE6">
        <w:rPr>
          <w:lang w:val="en-US"/>
        </w:rPr>
        <w:tab/>
      </w:r>
      <w:r>
        <w:rPr>
          <w:rStyle w:val="FootnoteReference"/>
        </w:rPr>
        <w:footnoteRef/>
      </w:r>
      <w:r w:rsidRPr="00360FE6">
        <w:rPr>
          <w:lang w:val="en-US"/>
        </w:rPr>
        <w:tab/>
      </w:r>
      <w:r>
        <w:rPr>
          <w:lang w:val="en-GB"/>
        </w:rPr>
        <w:t>Among</w:t>
      </w:r>
      <w:r>
        <w:t xml:space="preserve"> 136 West Bank settlements listed by Peace Now, 25 settlements fall under the type “quality of life”, 35 under the type “quality of life/ideological”, 70 under the type “ideological” and six under the type “ultra-orthodox”</w:t>
      </w:r>
      <w:r>
        <w:rPr>
          <w:lang w:val="en-GB"/>
        </w:rPr>
        <w:t xml:space="preserve"> (</w:t>
      </w:r>
      <w:bookmarkStart w:id="2" w:name="OLE_LINK1"/>
      <w:bookmarkStart w:id="3" w:name="OLE_LINK2"/>
      <w:r>
        <w:rPr>
          <w:lang w:val="en-GB"/>
        </w:rPr>
        <w:t xml:space="preserve">see </w:t>
      </w:r>
      <w:hyperlink r:id="rId5" w:history="1">
        <w:r w:rsidRPr="00C4360B">
          <w:rPr>
            <w:rStyle w:val="Hyperlink"/>
          </w:rPr>
          <w:t>http://peacenow.org.il/</w:t>
        </w:r>
      </w:hyperlink>
      <w:r>
        <w:t xml:space="preserve"> </w:t>
      </w:r>
      <w:r w:rsidRPr="00EA75AB">
        <w:t>eng/content/settlements-and-outposts</w:t>
      </w:r>
      <w:bookmarkEnd w:id="2"/>
      <w:bookmarkEnd w:id="3"/>
      <w:r>
        <w:t>).</w:t>
      </w:r>
    </w:p>
  </w:footnote>
  <w:footnote w:id="29">
    <w:p w:rsidR="008518FD" w:rsidRDefault="008518FD" w:rsidP="007F5C54">
      <w:pPr>
        <w:pStyle w:val="FootnoteText"/>
        <w:contextualSpacing/>
      </w:pPr>
      <w:r w:rsidRPr="00360FE6">
        <w:rPr>
          <w:lang w:val="en-US"/>
        </w:rPr>
        <w:tab/>
      </w:r>
      <w:r>
        <w:rPr>
          <w:rStyle w:val="FootnoteReference"/>
        </w:rPr>
        <w:footnoteRef/>
      </w:r>
      <w:r w:rsidRPr="00360FE6">
        <w:rPr>
          <w:lang w:val="en-US"/>
        </w:rPr>
        <w:tab/>
      </w:r>
      <w:r>
        <w:t>Palestinian Centre for Human Rights submission to Special Rapporteur, 22 November 2013.</w:t>
      </w:r>
    </w:p>
  </w:footnote>
  <w:footnote w:id="30">
    <w:p w:rsidR="008518FD" w:rsidRDefault="008518FD" w:rsidP="007F5C54">
      <w:pPr>
        <w:pStyle w:val="FootnoteText"/>
        <w:contextualSpacing/>
      </w:pPr>
      <w:r w:rsidRPr="00360FE6">
        <w:rPr>
          <w:lang w:val="en-US"/>
        </w:rPr>
        <w:tab/>
      </w:r>
      <w:r>
        <w:rPr>
          <w:rStyle w:val="FootnoteReference"/>
        </w:rPr>
        <w:footnoteRef/>
      </w:r>
      <w:r w:rsidRPr="00360FE6">
        <w:rPr>
          <w:lang w:val="en-US"/>
        </w:rPr>
        <w:tab/>
      </w:r>
      <w:r>
        <w:rPr>
          <w:lang w:val="en-US"/>
        </w:rPr>
        <w:t xml:space="preserve">See </w:t>
      </w:r>
      <w:r w:rsidRPr="00265CCA">
        <w:t>www.ochaopt.org/documents/ocha_opt_the_humanitarian_monitor_2013_11_25_english.pdf</w:t>
      </w:r>
      <w:r>
        <w:t>.</w:t>
      </w:r>
    </w:p>
  </w:footnote>
  <w:footnote w:id="31">
    <w:p w:rsidR="008518FD" w:rsidRPr="00360FE6" w:rsidRDefault="008518FD" w:rsidP="007F5C54">
      <w:pPr>
        <w:pStyle w:val="FootnoteText"/>
        <w:rPr>
          <w:lang w:val="es-ES"/>
        </w:rPr>
      </w:pPr>
      <w:r w:rsidRPr="00360FE6">
        <w:rPr>
          <w:lang w:val="es-ES"/>
        </w:rPr>
        <w:tab/>
      </w:r>
      <w:r>
        <w:rPr>
          <w:rStyle w:val="FootnoteReference"/>
        </w:rPr>
        <w:footnoteRef/>
      </w:r>
      <w:r w:rsidRPr="00360FE6">
        <w:rPr>
          <w:lang w:val="es-ES"/>
        </w:rPr>
        <w:tab/>
      </w:r>
      <w:hyperlink r:id="rId6" w:history="1">
        <w:r>
          <w:rPr>
            <w:rStyle w:val="Hyperlink"/>
          </w:rPr>
          <w:t xml:space="preserve">See </w:t>
        </w:r>
        <w:r w:rsidRPr="00264716">
          <w:rPr>
            <w:rStyle w:val="Hyperlink"/>
          </w:rPr>
          <w:t>www.ohchr.org/EN/NewsEvents/Pages/DisplayNews.aspx?NewsID=13662&amp;LangID=E</w:t>
        </w:r>
      </w:hyperlink>
      <w:r>
        <w:t xml:space="preserve"> and </w:t>
      </w:r>
      <w:hyperlink r:id="rId7" w:history="1">
        <w:r w:rsidRPr="00C460EF">
          <w:rPr>
            <w:rStyle w:val="Hyperlink"/>
          </w:rPr>
          <w:t>www.ohchr.org/EN/NewsEvents/Pages/DisplayNews.aspx?NewsID=13786&amp;LangID=E</w:t>
        </w:r>
      </w:hyperlink>
      <w:r>
        <w:t>.</w:t>
      </w:r>
    </w:p>
  </w:footnote>
  <w:footnote w:id="32">
    <w:p w:rsidR="008518FD" w:rsidRPr="006619B8" w:rsidRDefault="008518FD" w:rsidP="007F5C54">
      <w:pPr>
        <w:pStyle w:val="FootnoteText"/>
      </w:pPr>
      <w:r w:rsidRPr="00360FE6">
        <w:rPr>
          <w:lang w:val="es-ES"/>
        </w:rPr>
        <w:tab/>
      </w:r>
      <w:r>
        <w:rPr>
          <w:rStyle w:val="FootnoteReference"/>
        </w:rPr>
        <w:footnoteRef/>
      </w:r>
      <w:r w:rsidRPr="00360FE6">
        <w:rPr>
          <w:lang w:val="es-ES"/>
        </w:rPr>
        <w:tab/>
      </w:r>
      <w:r w:rsidRPr="006619B8">
        <w:t>www.ochaopt.org/documents/unhc_obstriction_humanitarian_assistance_english.pdf</w:t>
      </w:r>
      <w:r>
        <w:t>.</w:t>
      </w:r>
    </w:p>
  </w:footnote>
  <w:footnote w:id="33">
    <w:p w:rsidR="008518FD" w:rsidRPr="003E4C22" w:rsidRDefault="008518FD" w:rsidP="007F5C54">
      <w:pPr>
        <w:pStyle w:val="FootnoteText"/>
      </w:pPr>
      <w:r w:rsidRPr="00360FE6">
        <w:rPr>
          <w:lang w:val="es-ES"/>
        </w:rPr>
        <w:tab/>
      </w:r>
      <w:r>
        <w:rPr>
          <w:rStyle w:val="FootnoteReference"/>
        </w:rPr>
        <w:footnoteRef/>
      </w:r>
      <w:r w:rsidRPr="00360FE6">
        <w:rPr>
          <w:lang w:val="es-ES"/>
        </w:rPr>
        <w:tab/>
      </w:r>
      <w:r>
        <w:rPr>
          <w:lang w:val="es-ES"/>
        </w:rPr>
        <w:t xml:space="preserve">See </w:t>
      </w:r>
      <w:r w:rsidRPr="003E4C22">
        <w:t>http://unispal.un.org/UNISPAL.NSF/0/D9D07DCF58E781C585257A3A005956A6</w:t>
      </w:r>
      <w:r>
        <w:t>.</w:t>
      </w:r>
    </w:p>
  </w:footnote>
  <w:footnote w:id="34">
    <w:p w:rsidR="008518FD" w:rsidRPr="00DF377C" w:rsidRDefault="008518FD" w:rsidP="00DE2621">
      <w:pPr>
        <w:pStyle w:val="FootnoteText"/>
        <w:contextualSpacing/>
      </w:pPr>
      <w:r w:rsidRPr="00360FE6">
        <w:rPr>
          <w:lang w:val="es-ES"/>
        </w:rPr>
        <w:tab/>
      </w:r>
      <w:r>
        <w:rPr>
          <w:rStyle w:val="FootnoteReference"/>
        </w:rPr>
        <w:footnoteRef/>
      </w:r>
      <w:r w:rsidRPr="00360FE6">
        <w:rPr>
          <w:lang w:val="en-US"/>
        </w:rPr>
        <w:tab/>
      </w:r>
      <w:r>
        <w:rPr>
          <w:lang w:val="en-US"/>
        </w:rPr>
        <w:t xml:space="preserve">See </w:t>
      </w:r>
      <w:hyperlink r:id="rId8" w:history="1">
        <w:r w:rsidRPr="0087080E">
          <w:rPr>
            <w:rStyle w:val="Hyperlink"/>
          </w:rPr>
          <w:t>www.mfa.gov.il/mfa/aboutisrael/state/law/pages/summary%20of%20opinion%20concerning</w:t>
        </w:r>
      </w:hyperlink>
      <w:r w:rsidRPr="00DF377C">
        <w:t>%20</w:t>
      </w:r>
      <w:r>
        <w:t xml:space="preserve"> </w:t>
      </w:r>
      <w:r w:rsidRPr="00DF377C">
        <w:t>unauthorized%20outposts%20-%20talya%20sason%20adv.aspx</w:t>
      </w:r>
      <w:r>
        <w:t>.</w:t>
      </w:r>
    </w:p>
  </w:footnote>
  <w:footnote w:id="35">
    <w:p w:rsidR="008518FD" w:rsidRPr="009E543C" w:rsidRDefault="008518FD" w:rsidP="007F5C54">
      <w:pPr>
        <w:pStyle w:val="FootnoteText"/>
      </w:pPr>
      <w:r w:rsidRPr="00360FE6">
        <w:rPr>
          <w:lang w:val="en-US"/>
        </w:rPr>
        <w:tab/>
      </w:r>
      <w:r>
        <w:rPr>
          <w:rStyle w:val="FootnoteReference"/>
        </w:rPr>
        <w:footnoteRef/>
      </w:r>
      <w:r w:rsidRPr="00360FE6">
        <w:rPr>
          <w:lang w:val="en-US"/>
        </w:rPr>
        <w:tab/>
      </w:r>
      <w:r>
        <w:t xml:space="preserve">See </w:t>
      </w:r>
      <w:r w:rsidRPr="009E543C">
        <w:t>www.haaretz.com/news/diplomacy-defense/israel-to-legalize-four-west-bank-settlement-outposts-slated-for-demolition-1.524291</w:t>
      </w:r>
      <w:r>
        <w:t>.</w:t>
      </w:r>
    </w:p>
  </w:footnote>
  <w:footnote w:id="36">
    <w:p w:rsidR="008518FD" w:rsidRPr="000977DC" w:rsidRDefault="008518FD" w:rsidP="007F5C54">
      <w:pPr>
        <w:pStyle w:val="FootnoteText"/>
      </w:pPr>
      <w:r w:rsidRPr="00360FE6">
        <w:rPr>
          <w:lang w:val="en-US"/>
        </w:rPr>
        <w:tab/>
      </w:r>
      <w:r>
        <w:rPr>
          <w:rStyle w:val="FootnoteReference"/>
        </w:rPr>
        <w:footnoteRef/>
      </w:r>
      <w:r w:rsidRPr="00360FE6">
        <w:rPr>
          <w:lang w:val="en-US"/>
        </w:rPr>
        <w:tab/>
      </w:r>
      <w:r>
        <w:t xml:space="preserve">See </w:t>
      </w:r>
      <w:r w:rsidRPr="000977DC">
        <w:t>www.jpost.com/Diplomacy-and-Politics/Knesset-panel-to-debate-Levy-Report-333137</w:t>
      </w:r>
      <w:r>
        <w:t>.</w:t>
      </w:r>
    </w:p>
  </w:footnote>
  <w:footnote w:id="37">
    <w:p w:rsidR="008518FD" w:rsidRPr="007177A6" w:rsidRDefault="008518FD" w:rsidP="007F5C54">
      <w:pPr>
        <w:pStyle w:val="FootnoteText"/>
      </w:pPr>
      <w:r w:rsidRPr="00360FE6">
        <w:rPr>
          <w:lang w:val="en-US"/>
        </w:rPr>
        <w:tab/>
      </w:r>
      <w:r>
        <w:rPr>
          <w:rStyle w:val="FootnoteReference"/>
        </w:rPr>
        <w:footnoteRef/>
      </w:r>
      <w:r w:rsidRPr="00360FE6">
        <w:rPr>
          <w:lang w:val="es-ES"/>
        </w:rPr>
        <w:tab/>
      </w:r>
      <w:r>
        <w:t>A/65/331, para. 14, and A/HRC/20/32, para. 32.</w:t>
      </w:r>
    </w:p>
  </w:footnote>
  <w:footnote w:id="38">
    <w:p w:rsidR="008518FD" w:rsidRPr="00360FE6" w:rsidRDefault="008518FD" w:rsidP="007F5C54">
      <w:pPr>
        <w:pStyle w:val="FootnoteText"/>
        <w:rPr>
          <w:lang w:val="en-US"/>
        </w:rPr>
      </w:pPr>
      <w:r w:rsidRPr="00360FE6">
        <w:rPr>
          <w:lang w:val="es-ES"/>
        </w:rPr>
        <w:tab/>
      </w:r>
      <w:r>
        <w:rPr>
          <w:rStyle w:val="FootnoteReference"/>
        </w:rPr>
        <w:footnoteRef/>
      </w:r>
      <w:r w:rsidRPr="00360FE6">
        <w:rPr>
          <w:lang w:val="en-US"/>
        </w:rPr>
        <w:tab/>
        <w:t>A/68/513</w:t>
      </w:r>
      <w:r>
        <w:rPr>
          <w:lang w:val="en-US"/>
        </w:rPr>
        <w:t xml:space="preserve">, </w:t>
      </w:r>
      <w:r w:rsidRPr="00360FE6">
        <w:rPr>
          <w:lang w:val="en-US"/>
        </w:rPr>
        <w:t>paras. 30</w:t>
      </w:r>
      <w:r>
        <w:rPr>
          <w:lang w:val="en-US"/>
        </w:rPr>
        <w:t>–</w:t>
      </w:r>
      <w:r w:rsidRPr="00360FE6">
        <w:rPr>
          <w:lang w:val="en-US"/>
        </w:rPr>
        <w:t>33.</w:t>
      </w:r>
    </w:p>
  </w:footnote>
  <w:footnote w:id="39">
    <w:p w:rsidR="008518FD" w:rsidRPr="005F2B1B" w:rsidRDefault="008518FD" w:rsidP="007F5C54">
      <w:pPr>
        <w:pStyle w:val="FootnoteText"/>
      </w:pPr>
      <w:r w:rsidRPr="00360FE6">
        <w:rPr>
          <w:lang w:val="en-US"/>
        </w:rPr>
        <w:tab/>
      </w:r>
      <w:r>
        <w:rPr>
          <w:rStyle w:val="FootnoteReference"/>
        </w:rPr>
        <w:footnoteRef/>
      </w:r>
      <w:r w:rsidRPr="00360FE6">
        <w:rPr>
          <w:lang w:val="en-US"/>
        </w:rPr>
        <w:tab/>
      </w:r>
      <w:r>
        <w:rPr>
          <w:lang w:val="en-US"/>
        </w:rPr>
        <w:t xml:space="preserve">See </w:t>
      </w:r>
      <w:r w:rsidRPr="005F2B1B">
        <w:t>http://unctad.org/en/PublicationsLibrary/gdsapp2012d1_en.pdf</w:t>
      </w:r>
      <w:r>
        <w:t>.</w:t>
      </w:r>
    </w:p>
  </w:footnote>
  <w:footnote w:id="40">
    <w:p w:rsidR="008518FD" w:rsidRDefault="008518FD" w:rsidP="007F5C54">
      <w:pPr>
        <w:pStyle w:val="FootnoteText"/>
      </w:pPr>
      <w:r w:rsidRPr="00360FE6">
        <w:rPr>
          <w:lang w:val="en-US"/>
        </w:rPr>
        <w:tab/>
      </w:r>
      <w:r>
        <w:rPr>
          <w:rStyle w:val="FootnoteReference"/>
        </w:rPr>
        <w:footnoteRef/>
      </w:r>
      <w:r w:rsidRPr="00360FE6">
        <w:rPr>
          <w:lang w:val="en-US"/>
        </w:rPr>
        <w:tab/>
      </w:r>
      <w:r>
        <w:rPr>
          <w:lang w:val="en-US"/>
        </w:rPr>
        <w:t xml:space="preserve">See </w:t>
      </w:r>
      <w:r w:rsidRPr="00F441D1">
        <w:t>www.acri.org.il/en/2013/09/02/ej-edu-report-13</w:t>
      </w:r>
      <w:r>
        <w:t>.</w:t>
      </w:r>
    </w:p>
  </w:footnote>
  <w:footnote w:id="41">
    <w:p w:rsidR="008518FD" w:rsidRPr="001A07AC" w:rsidRDefault="008518FD" w:rsidP="007F5C54">
      <w:pPr>
        <w:pStyle w:val="FootnoteText"/>
        <w:rPr>
          <w:lang w:val="en-GB"/>
        </w:rPr>
      </w:pPr>
      <w:r w:rsidRPr="00360FE6">
        <w:rPr>
          <w:lang w:val="en-US"/>
        </w:rPr>
        <w:tab/>
      </w:r>
      <w:r>
        <w:rPr>
          <w:rStyle w:val="FootnoteReference"/>
        </w:rPr>
        <w:footnoteRef/>
      </w:r>
      <w:r w:rsidRPr="00360FE6">
        <w:rPr>
          <w:lang w:val="en-US"/>
        </w:rPr>
        <w:tab/>
      </w:r>
      <w:r>
        <w:rPr>
          <w:lang w:val="en-US"/>
        </w:rPr>
        <w:t>“</w:t>
      </w:r>
      <w:r>
        <w:t xml:space="preserve">EU Heads of Mission </w:t>
      </w:r>
      <w:smartTag w:uri="urn:schemas-microsoft-com:office:smarttags" w:element="City">
        <w:smartTag w:uri="urn:schemas-microsoft-com:office:smarttags" w:element="place">
          <w:r>
            <w:t>Jerusalem</w:t>
          </w:r>
        </w:smartTag>
      </w:smartTag>
      <w:r>
        <w:t xml:space="preserve"> Report 2012”.</w:t>
      </w:r>
    </w:p>
  </w:footnote>
  <w:footnote w:id="42">
    <w:p w:rsidR="008518FD" w:rsidRPr="006A2464" w:rsidRDefault="008518FD" w:rsidP="007F5C54">
      <w:pPr>
        <w:pStyle w:val="FootnoteText"/>
        <w:rPr>
          <w:lang w:val="en-GB"/>
        </w:rPr>
      </w:pPr>
      <w:r w:rsidRPr="00360FE6">
        <w:rPr>
          <w:lang w:val="en-US"/>
        </w:rPr>
        <w:tab/>
      </w:r>
      <w:r>
        <w:rPr>
          <w:rStyle w:val="FootnoteReference"/>
        </w:rPr>
        <w:footnoteRef/>
      </w:r>
      <w:r w:rsidRPr="00360FE6">
        <w:rPr>
          <w:lang w:val="en-US"/>
        </w:rPr>
        <w:tab/>
      </w:r>
      <w:r>
        <w:t>Submission to Special Rapporteur by the Civic Coalition for Palestinian Rights in Jerusalem</w:t>
      </w:r>
      <w:r>
        <w:rPr>
          <w:lang w:val="en-GB"/>
        </w:rPr>
        <w:t xml:space="preserve"> (</w:t>
      </w:r>
      <w:r>
        <w:t>November 2013</w:t>
      </w:r>
      <w:r>
        <w:rPr>
          <w:lang w:val="en-GB"/>
        </w:rPr>
        <w:t>).</w:t>
      </w:r>
    </w:p>
  </w:footnote>
  <w:footnote w:id="43">
    <w:p w:rsidR="008518FD" w:rsidRPr="007D4349" w:rsidRDefault="008518FD" w:rsidP="007F5C54">
      <w:pPr>
        <w:pStyle w:val="FootnoteText"/>
      </w:pPr>
      <w:r w:rsidRPr="00360FE6">
        <w:rPr>
          <w:lang w:val="en-US"/>
        </w:rPr>
        <w:tab/>
      </w:r>
      <w:r>
        <w:rPr>
          <w:rStyle w:val="FootnoteReference"/>
        </w:rPr>
        <w:footnoteRef/>
      </w:r>
      <w:r w:rsidRPr="00360FE6">
        <w:rPr>
          <w:lang w:val="en-US"/>
        </w:rPr>
        <w:tab/>
      </w:r>
      <w:r>
        <w:rPr>
          <w:lang w:val="en-US"/>
        </w:rPr>
        <w:t xml:space="preserve">At 30 November 2013 </w:t>
      </w:r>
      <w:hyperlink r:id="rId9" w:history="1">
        <w:r w:rsidRPr="00360FE6">
          <w:rPr>
            <w:rStyle w:val="Hyperlink"/>
            <w:lang w:val="es-ES"/>
          </w:rPr>
          <w:t>(</w:t>
        </w:r>
        <w:r w:rsidRPr="00360FE6">
          <w:rPr>
            <w:rStyle w:val="Hyperlink"/>
          </w:rPr>
          <w:t>www.btselem.org/planning_and_building/east_jerusalem_statistics</w:t>
        </w:r>
      </w:hyperlink>
      <w:r>
        <w:rPr>
          <w:lang w:val="es-ES"/>
        </w:rPr>
        <w:t>)</w:t>
      </w:r>
      <w:r>
        <w:t>.</w:t>
      </w:r>
    </w:p>
  </w:footnote>
  <w:footnote w:id="44">
    <w:p w:rsidR="008518FD" w:rsidRDefault="008518FD" w:rsidP="007F5C54">
      <w:pPr>
        <w:pStyle w:val="FootnoteText"/>
      </w:pPr>
      <w:r w:rsidRPr="00360FE6">
        <w:rPr>
          <w:lang w:val="en-US"/>
        </w:rPr>
        <w:tab/>
      </w:r>
      <w:r>
        <w:rPr>
          <w:rStyle w:val="FootnoteReference"/>
        </w:rPr>
        <w:footnoteRef/>
      </w:r>
      <w:r w:rsidRPr="00360FE6">
        <w:rPr>
          <w:lang w:val="en-US"/>
        </w:rPr>
        <w:tab/>
      </w:r>
      <w:r>
        <w:rPr>
          <w:lang w:val="en-US"/>
        </w:rPr>
        <w:t>“</w:t>
      </w:r>
      <w:r>
        <w:t xml:space="preserve">EU Heads of Mission </w:t>
      </w:r>
      <w:smartTag w:uri="urn:schemas-microsoft-com:office:smarttags" w:element="City">
        <w:smartTag w:uri="urn:schemas-microsoft-com:office:smarttags" w:element="place">
          <w:r>
            <w:t>Jerusalem</w:t>
          </w:r>
        </w:smartTag>
      </w:smartTag>
      <w:r>
        <w:t xml:space="preserve"> Report 2012”.</w:t>
      </w:r>
    </w:p>
  </w:footnote>
  <w:footnote w:id="45">
    <w:p w:rsidR="008518FD" w:rsidRPr="003A01A4" w:rsidRDefault="008518FD" w:rsidP="007F5C54">
      <w:pPr>
        <w:pStyle w:val="FootnoteText"/>
      </w:pPr>
      <w:r w:rsidRPr="00360FE6">
        <w:rPr>
          <w:lang w:val="en-US"/>
        </w:rPr>
        <w:tab/>
      </w:r>
      <w:r>
        <w:rPr>
          <w:rStyle w:val="FootnoteReference"/>
        </w:rPr>
        <w:footnoteRef/>
      </w:r>
      <w:r w:rsidRPr="00360FE6">
        <w:rPr>
          <w:lang w:val="en-US"/>
        </w:rPr>
        <w:tab/>
      </w:r>
      <w:r>
        <w:t>A/67/379, A/HRC/23/21, A/68/376.</w:t>
      </w:r>
    </w:p>
  </w:footnote>
  <w:footnote w:id="46">
    <w:p w:rsidR="008518FD" w:rsidRDefault="008518FD" w:rsidP="007F5C54">
      <w:pPr>
        <w:pStyle w:val="FootnoteText"/>
      </w:pPr>
      <w:r w:rsidRPr="00360FE6">
        <w:rPr>
          <w:lang w:val="en-US"/>
        </w:rPr>
        <w:tab/>
      </w:r>
      <w:r>
        <w:rPr>
          <w:rStyle w:val="FootnoteReference"/>
        </w:rPr>
        <w:footnoteRef/>
      </w:r>
      <w:r w:rsidRPr="00360FE6">
        <w:rPr>
          <w:lang w:val="en-US"/>
        </w:rPr>
        <w:tab/>
      </w:r>
      <w:r>
        <w:rPr>
          <w:lang w:val="en-US"/>
        </w:rPr>
        <w:t xml:space="preserve">See </w:t>
      </w:r>
      <w:r w:rsidRPr="004C36AF">
        <w:t>https://www.un.org/apps/news//story.asp?NewsID=45812&amp;Cr=palestin&amp;Cr1=</w:t>
      </w:r>
      <w:r>
        <w:t>.</w:t>
      </w:r>
    </w:p>
  </w:footnote>
  <w:footnote w:id="47">
    <w:p w:rsidR="008518FD" w:rsidRPr="00D11D44" w:rsidRDefault="008518FD" w:rsidP="007F5C54">
      <w:pPr>
        <w:pStyle w:val="FootnoteText"/>
      </w:pPr>
      <w:r w:rsidRPr="00360FE6">
        <w:rPr>
          <w:lang w:val="en-US"/>
        </w:rPr>
        <w:tab/>
      </w:r>
      <w:r>
        <w:rPr>
          <w:rStyle w:val="FootnoteReference"/>
        </w:rPr>
        <w:footnoteRef/>
      </w:r>
      <w:r w:rsidRPr="00360FE6">
        <w:rPr>
          <w:lang w:val="en-US"/>
        </w:rPr>
        <w:tab/>
      </w:r>
      <w:r>
        <w:t xml:space="preserve">See </w:t>
      </w:r>
      <w:r w:rsidRPr="00D11D44">
        <w:t>www.jpost.com/Diplomacy-and-Politics/Dutch-firm-severs-ties-with-Mekorot-over-West-Bank-policy-even-as-Israel-Jordan-PA-sign-major-water-deal-334597</w:t>
      </w:r>
      <w:r>
        <w:t>.</w:t>
      </w:r>
    </w:p>
  </w:footnote>
  <w:footnote w:id="48">
    <w:p w:rsidR="008518FD" w:rsidRPr="00045012" w:rsidRDefault="008518FD" w:rsidP="007F5C54">
      <w:pPr>
        <w:pStyle w:val="FootnoteText"/>
        <w:rPr>
          <w:lang w:val="en-GB"/>
        </w:rPr>
      </w:pPr>
      <w:r w:rsidRPr="00360FE6">
        <w:rPr>
          <w:lang w:val="en-US"/>
        </w:rPr>
        <w:tab/>
      </w:r>
      <w:r>
        <w:rPr>
          <w:rStyle w:val="FootnoteReference"/>
        </w:rPr>
        <w:footnoteRef/>
      </w:r>
      <w:r w:rsidRPr="00360FE6">
        <w:rPr>
          <w:lang w:val="en-US"/>
        </w:rPr>
        <w:tab/>
      </w:r>
      <w:r>
        <w:t xml:space="preserve">Palestinian </w:t>
      </w:r>
      <w:r w:rsidRPr="00360FE6">
        <w:rPr>
          <w:lang w:val="en-US"/>
        </w:rPr>
        <w:t>BDS</w:t>
      </w:r>
      <w:r>
        <w:t xml:space="preserve"> National Committee, submission to Special Rapporteur</w:t>
      </w:r>
      <w:r>
        <w:rPr>
          <w:lang w:val="en-GB"/>
        </w:rPr>
        <w:t xml:space="preserve"> (</w:t>
      </w:r>
      <w:r>
        <w:t>November 2013</w:t>
      </w:r>
      <w:r>
        <w:rPr>
          <w:lang w:val="en-GB"/>
        </w:rPr>
        <w:t>).</w:t>
      </w:r>
    </w:p>
  </w:footnote>
  <w:footnote w:id="49">
    <w:p w:rsidR="008518FD" w:rsidRPr="00255CF9" w:rsidRDefault="008518FD" w:rsidP="007F5C54">
      <w:pPr>
        <w:pStyle w:val="FootnoteText"/>
      </w:pPr>
      <w:r w:rsidRPr="00360FE6">
        <w:rPr>
          <w:lang w:val="en-US"/>
        </w:rPr>
        <w:tab/>
      </w:r>
      <w:r>
        <w:rPr>
          <w:rStyle w:val="FootnoteReference"/>
        </w:rPr>
        <w:footnoteRef/>
      </w:r>
      <w:r w:rsidRPr="00360FE6">
        <w:rPr>
          <w:lang w:val="en-US"/>
        </w:rPr>
        <w:tab/>
      </w:r>
      <w:r>
        <w:t>A/HRC/22/63, paras. 116–117.</w:t>
      </w:r>
    </w:p>
  </w:footnote>
  <w:footnote w:id="50">
    <w:p w:rsidR="008518FD" w:rsidRPr="00896B9A" w:rsidRDefault="008518FD" w:rsidP="007F5C54">
      <w:pPr>
        <w:pStyle w:val="FootnoteText"/>
      </w:pPr>
      <w:r w:rsidRPr="00360FE6">
        <w:rPr>
          <w:lang w:val="en-US"/>
        </w:rPr>
        <w:tab/>
      </w:r>
      <w:r>
        <w:rPr>
          <w:rStyle w:val="FootnoteReference"/>
        </w:rPr>
        <w:footnoteRef/>
      </w:r>
      <w:r w:rsidRPr="00360FE6">
        <w:rPr>
          <w:lang w:val="en-US"/>
        </w:rPr>
        <w:tab/>
      </w:r>
      <w:hyperlink r:id="rId10" w:history="1">
        <w:r w:rsidRPr="00360FE6">
          <w:rPr>
            <w:rStyle w:val="Hyperlink"/>
            <w:spacing w:val="-2"/>
          </w:rPr>
          <w:t>See www.theguardian.com/world/2013/dec/09/uk-government-warns-over-business-israeli-settlements</w:t>
        </w:r>
      </w:hyperlink>
      <w:r w:rsidRPr="00360FE6">
        <w:rPr>
          <w:spacing w:val="-2"/>
        </w:rPr>
        <w:t>.</w:t>
      </w:r>
    </w:p>
  </w:footnote>
  <w:footnote w:id="51">
    <w:p w:rsidR="008518FD" w:rsidRDefault="008518FD" w:rsidP="007F5C54">
      <w:pPr>
        <w:pStyle w:val="FootnoteText"/>
      </w:pPr>
      <w:r w:rsidRPr="00360FE6">
        <w:rPr>
          <w:lang w:val="en-US"/>
        </w:rPr>
        <w:tab/>
      </w:r>
      <w:r>
        <w:rPr>
          <w:rStyle w:val="FootnoteReference"/>
        </w:rPr>
        <w:footnoteRef/>
      </w:r>
      <w:r w:rsidRPr="00360FE6">
        <w:rPr>
          <w:lang w:val="en-US"/>
        </w:rPr>
        <w:tab/>
      </w:r>
      <w:r>
        <w:t>A/HRC/12/48, A/HRC/22/35/Add.1 and A/HRC/23/21.</w:t>
      </w:r>
    </w:p>
  </w:footnote>
  <w:footnote w:id="52">
    <w:p w:rsidR="008518FD" w:rsidRPr="004D7689" w:rsidRDefault="008518FD" w:rsidP="007F5C54">
      <w:pPr>
        <w:pStyle w:val="FootnoteText"/>
      </w:pPr>
      <w:r w:rsidRPr="00360FE6">
        <w:rPr>
          <w:lang w:val="en-US"/>
        </w:rPr>
        <w:tab/>
      </w:r>
      <w:r>
        <w:rPr>
          <w:rStyle w:val="FootnoteReference"/>
        </w:rPr>
        <w:footnoteRef/>
      </w:r>
      <w:r w:rsidRPr="00360FE6">
        <w:rPr>
          <w:lang w:val="en-US"/>
        </w:rPr>
        <w:tab/>
      </w:r>
      <w:r>
        <w:t xml:space="preserve">See </w:t>
      </w:r>
      <w:r w:rsidRPr="004D7689">
        <w:t>www.ohchr.org/EN/NewsEvents/Pages/DisplayNews.aspx?NewsID=14028&amp;LangID=E</w:t>
      </w:r>
      <w:r>
        <w:t>.</w:t>
      </w:r>
    </w:p>
  </w:footnote>
  <w:footnote w:id="53">
    <w:p w:rsidR="008518FD" w:rsidRPr="00D166A4" w:rsidRDefault="008518FD" w:rsidP="007F5C54">
      <w:pPr>
        <w:pStyle w:val="FootnoteText"/>
      </w:pPr>
      <w:r w:rsidRPr="00360FE6">
        <w:rPr>
          <w:lang w:val="en-US"/>
        </w:rPr>
        <w:tab/>
      </w:r>
      <w:r>
        <w:rPr>
          <w:rStyle w:val="FootnoteReference"/>
        </w:rPr>
        <w:footnoteRef/>
      </w:r>
      <w:r w:rsidRPr="00360FE6">
        <w:rPr>
          <w:lang w:val="en-US"/>
        </w:rPr>
        <w:tab/>
      </w:r>
      <w:r>
        <w:t xml:space="preserve">See </w:t>
      </w:r>
      <w:r w:rsidRPr="00D166A4">
        <w:t>www.cogat.idf.il/Sip_Storage/FILES/0/4320.pdf</w:t>
      </w:r>
      <w:r>
        <w:t>.</w:t>
      </w:r>
    </w:p>
  </w:footnote>
  <w:footnote w:id="54">
    <w:p w:rsidR="008518FD" w:rsidRDefault="008518FD" w:rsidP="007F5C54">
      <w:pPr>
        <w:pStyle w:val="FootnoteText"/>
      </w:pPr>
      <w:r w:rsidRPr="00360FE6">
        <w:rPr>
          <w:lang w:val="en-US"/>
        </w:rPr>
        <w:tab/>
      </w:r>
      <w:r>
        <w:rPr>
          <w:rStyle w:val="FootnoteReference"/>
        </w:rPr>
        <w:footnoteRef/>
      </w:r>
      <w:r w:rsidRPr="00360FE6">
        <w:rPr>
          <w:lang w:val="en-US"/>
        </w:rPr>
        <w:tab/>
      </w:r>
      <w:r>
        <w:t xml:space="preserve">See </w:t>
      </w:r>
      <w:r w:rsidRPr="00381D73">
        <w:t>www.haaretz.com/news/diplomacy-defense/.premium-1.562465</w:t>
      </w:r>
      <w:r>
        <w:t>.</w:t>
      </w:r>
    </w:p>
  </w:footnote>
  <w:footnote w:id="55">
    <w:p w:rsidR="008518FD" w:rsidRDefault="008518FD" w:rsidP="007F5C54">
      <w:pPr>
        <w:pStyle w:val="FootnoteText"/>
      </w:pPr>
      <w:r w:rsidRPr="00360FE6">
        <w:rPr>
          <w:vertAlign w:val="superscript"/>
          <w:lang w:val="en-US"/>
        </w:rPr>
        <w:tab/>
      </w:r>
      <w:r w:rsidRPr="004E403B">
        <w:rPr>
          <w:vertAlign w:val="superscript"/>
        </w:rPr>
        <w:footnoteRef/>
      </w:r>
      <w:r w:rsidRPr="00360FE6">
        <w:rPr>
          <w:vertAlign w:val="superscript"/>
          <w:lang w:val="es-ES"/>
        </w:rPr>
        <w:tab/>
      </w:r>
      <w:r>
        <w:t>A/HRC/16/72, para. 8, A/HRC/4/17, p</w:t>
      </w:r>
      <w:r w:rsidRPr="00360FE6">
        <w:rPr>
          <w:lang w:val="es-ES"/>
        </w:rPr>
        <w:t>.</w:t>
      </w:r>
      <w:r>
        <w:rPr>
          <w:lang w:val="es-ES"/>
        </w:rPr>
        <w:t> </w:t>
      </w:r>
      <w:r>
        <w:t>3.</w:t>
      </w:r>
    </w:p>
  </w:footnote>
  <w:footnote w:id="56">
    <w:p w:rsidR="008518FD" w:rsidRDefault="008518FD" w:rsidP="007F5C54">
      <w:pPr>
        <w:pStyle w:val="FootnoteText"/>
      </w:pPr>
      <w:r w:rsidRPr="00360FE6">
        <w:rPr>
          <w:lang w:val="es-ES"/>
        </w:rPr>
        <w:tab/>
      </w:r>
      <w:r>
        <w:rPr>
          <w:rStyle w:val="FootnoteReference"/>
        </w:rPr>
        <w:footnoteRef/>
      </w:r>
      <w:r w:rsidRPr="00360FE6">
        <w:rPr>
          <w:lang w:val="en-US"/>
        </w:rPr>
        <w:tab/>
      </w:r>
      <w:r>
        <w:t>A/HRC/16/72, para</w:t>
      </w:r>
      <w:r>
        <w:rPr>
          <w:lang w:val="en-GB"/>
        </w:rPr>
        <w:t>. </w:t>
      </w:r>
      <w:r>
        <w:t>32(b).</w:t>
      </w:r>
    </w:p>
  </w:footnote>
  <w:footnote w:id="57">
    <w:p w:rsidR="008518FD" w:rsidRPr="00360FE6" w:rsidRDefault="008518FD" w:rsidP="007F5C54">
      <w:pPr>
        <w:pStyle w:val="FootnoteText"/>
        <w:rPr>
          <w:lang w:val="en-US"/>
        </w:rPr>
      </w:pPr>
      <w:r w:rsidRPr="00360FE6">
        <w:rPr>
          <w:lang w:val="en-US"/>
        </w:rPr>
        <w:tab/>
      </w:r>
      <w:r>
        <w:rPr>
          <w:rStyle w:val="FootnoteReference"/>
        </w:rPr>
        <w:footnoteRef/>
      </w:r>
      <w:r w:rsidRPr="00360FE6">
        <w:rPr>
          <w:lang w:val="en-US"/>
        </w:rPr>
        <w:tab/>
        <w:t xml:space="preserve">Art. 85(4)(c), </w:t>
      </w:r>
      <w:r w:rsidRPr="000776C1">
        <w:t>A/HRC/16/72</w:t>
      </w:r>
      <w:r>
        <w:t>.</w:t>
      </w:r>
    </w:p>
  </w:footnote>
  <w:footnote w:id="58">
    <w:p w:rsidR="008518FD" w:rsidRDefault="008518FD" w:rsidP="00DE2621">
      <w:pPr>
        <w:pStyle w:val="FootnoteText"/>
      </w:pPr>
      <w:r w:rsidRPr="00360FE6">
        <w:rPr>
          <w:lang w:val="en-US"/>
        </w:rPr>
        <w:tab/>
      </w:r>
      <w:r>
        <w:rPr>
          <w:rStyle w:val="FootnoteReference"/>
        </w:rPr>
        <w:footnoteRef/>
      </w:r>
      <w:r w:rsidRPr="00360FE6">
        <w:rPr>
          <w:lang w:val="en-US"/>
        </w:rPr>
        <w:tab/>
      </w:r>
      <w:r>
        <w:t>Draft Articles on Responsibility of States for Internationally Wrongful Acts, with commentaries (2001),</w:t>
      </w:r>
      <w:r w:rsidRPr="00360FE6">
        <w:rPr>
          <w:lang w:val="en-US"/>
        </w:rPr>
        <w:t xml:space="preserve"> </w:t>
      </w:r>
      <w:r>
        <w:t>art</w:t>
      </w:r>
      <w:r>
        <w:rPr>
          <w:lang w:val="en-GB"/>
        </w:rPr>
        <w:t>s. </w:t>
      </w:r>
      <w:r>
        <w:t>40–41 and commentaries.</w:t>
      </w:r>
    </w:p>
  </w:footnote>
  <w:footnote w:id="59">
    <w:p w:rsidR="008518FD" w:rsidRPr="00864573" w:rsidRDefault="008518FD" w:rsidP="007F5C54">
      <w:pPr>
        <w:pStyle w:val="FootnoteText"/>
      </w:pPr>
      <w:r w:rsidRPr="00360FE6">
        <w:rPr>
          <w:lang w:val="en-US"/>
        </w:rPr>
        <w:tab/>
      </w:r>
      <w:r>
        <w:rPr>
          <w:rStyle w:val="FootnoteReference"/>
        </w:rPr>
        <w:footnoteRef/>
      </w:r>
      <w:r w:rsidRPr="00360FE6">
        <w:rPr>
          <w:lang w:val="en-US"/>
        </w:rPr>
        <w:tab/>
        <w:t xml:space="preserve">Regardless of the possibility that </w:t>
      </w:r>
      <w:r>
        <w:rPr>
          <w:lang w:val="en-US"/>
        </w:rPr>
        <w:t>the Convention’s</w:t>
      </w:r>
      <w:r w:rsidRPr="00360FE6">
        <w:rPr>
          <w:lang w:val="en-US"/>
        </w:rPr>
        <w:t xml:space="preserve"> inclusion of </w:t>
      </w:r>
      <w:r w:rsidRPr="00007F22">
        <w:t xml:space="preserve">apartheid </w:t>
      </w:r>
      <w:r w:rsidRPr="00360FE6">
        <w:rPr>
          <w:lang w:val="en-US"/>
        </w:rPr>
        <w:t xml:space="preserve">applies </w:t>
      </w:r>
      <w:r w:rsidRPr="00007F22">
        <w:t xml:space="preserve">exclusively </w:t>
      </w:r>
      <w:r w:rsidRPr="00360FE6">
        <w:rPr>
          <w:lang w:val="en-US"/>
        </w:rPr>
        <w:t>to</w:t>
      </w:r>
      <w:r w:rsidRPr="00007F22">
        <w:t xml:space="preserve"> </w:t>
      </w:r>
      <w:smartTag w:uri="urn:schemas-microsoft-com:office:smarttags" w:element="country-region">
        <w:smartTag w:uri="urn:schemas-microsoft-com:office:smarttags" w:element="place">
          <w:r w:rsidRPr="00007F22">
            <w:t>South Africa</w:t>
          </w:r>
        </w:smartTag>
      </w:smartTag>
      <w:r w:rsidRPr="00007F22">
        <w:t xml:space="preserve">, </w:t>
      </w:r>
      <w:r>
        <w:t>the Convention</w:t>
      </w:r>
      <w:r w:rsidRPr="00007F22">
        <w:t xml:space="preserve"> prohibits all forms of racial segregation</w:t>
      </w:r>
      <w:r w:rsidRPr="00A825D6">
        <w:rPr>
          <w:lang w:val="en-GB"/>
        </w:rPr>
        <w:t xml:space="preserve">. </w:t>
      </w:r>
      <w:r>
        <w:rPr>
          <w:lang w:val="en-GB"/>
        </w:rPr>
        <w:t xml:space="preserve">See Committee on the Elimination of Racial Discrimination, </w:t>
      </w:r>
      <w:r>
        <w:t>g</w:t>
      </w:r>
      <w:r w:rsidRPr="00007F22">
        <w:t xml:space="preserve">eneral </w:t>
      </w:r>
      <w:r>
        <w:t>r</w:t>
      </w:r>
      <w:r w:rsidRPr="00007F22">
        <w:t xml:space="preserve">ecommendation </w:t>
      </w:r>
      <w:r>
        <w:t>No. 19</w:t>
      </w:r>
      <w:r>
        <w:rPr>
          <w:lang w:val="en-US"/>
        </w:rPr>
        <w:t xml:space="preserve"> (</w:t>
      </w:r>
      <w:r w:rsidRPr="00007F22">
        <w:t>1995</w:t>
      </w:r>
      <w:r>
        <w:t>).</w:t>
      </w:r>
    </w:p>
  </w:footnote>
  <w:footnote w:id="60">
    <w:p w:rsidR="008518FD" w:rsidRPr="00901EE7" w:rsidRDefault="008518FD" w:rsidP="007F5C54">
      <w:pPr>
        <w:pStyle w:val="FootnoteText"/>
      </w:pPr>
      <w:r w:rsidRPr="00360FE6">
        <w:rPr>
          <w:lang w:val="en-US"/>
        </w:rPr>
        <w:tab/>
      </w:r>
      <w:r>
        <w:rPr>
          <w:rStyle w:val="FootnoteReference"/>
        </w:rPr>
        <w:footnoteRef/>
      </w:r>
      <w:r w:rsidRPr="00360FE6">
        <w:rPr>
          <w:lang w:val="en-US"/>
        </w:rPr>
        <w:tab/>
      </w:r>
      <w:r>
        <w:t>General recommendation No. 24 (1999), para. 1.</w:t>
      </w:r>
    </w:p>
  </w:footnote>
  <w:footnote w:id="61">
    <w:p w:rsidR="008518FD" w:rsidRPr="00FC292B" w:rsidRDefault="008518FD" w:rsidP="007F5C54">
      <w:pPr>
        <w:pStyle w:val="FootnoteText"/>
        <w:rPr>
          <w:lang w:val="en-GB"/>
        </w:rPr>
      </w:pPr>
      <w:r w:rsidRPr="00360FE6">
        <w:rPr>
          <w:lang w:val="en-US"/>
        </w:rPr>
        <w:tab/>
      </w:r>
      <w:r>
        <w:rPr>
          <w:rStyle w:val="FootnoteReference"/>
        </w:rPr>
        <w:footnoteRef/>
      </w:r>
      <w:r w:rsidRPr="00360FE6">
        <w:rPr>
          <w:lang w:val="en-US"/>
        </w:rPr>
        <w:tab/>
      </w:r>
      <w:smartTag w:uri="urn:schemas-microsoft-com:office:smarttags" w:element="country-region">
        <w:r w:rsidRPr="00360FE6">
          <w:rPr>
            <w:lang w:val="en-US"/>
          </w:rPr>
          <w:t>Israel</w:t>
        </w:r>
      </w:smartTag>
      <w:r w:rsidRPr="00360FE6">
        <w:rPr>
          <w:lang w:val="en-US"/>
        </w:rPr>
        <w:t xml:space="preserve"> is not a party to the </w:t>
      </w:r>
      <w:r>
        <w:rPr>
          <w:lang w:val="en-US"/>
        </w:rPr>
        <w:t>Convention</w:t>
      </w:r>
      <w:r w:rsidRPr="00360FE6">
        <w:rPr>
          <w:lang w:val="en-US"/>
        </w:rPr>
        <w:t xml:space="preserve"> and i</w:t>
      </w:r>
      <w:r w:rsidRPr="00007F22">
        <w:t>t is debated whether</w:t>
      </w:r>
      <w:r w:rsidRPr="00360FE6">
        <w:rPr>
          <w:lang w:val="en-US"/>
        </w:rPr>
        <w:t xml:space="preserve"> it </w:t>
      </w:r>
      <w:r w:rsidRPr="00007F22">
        <w:t>was intended to appl</w:t>
      </w:r>
      <w:r>
        <w:t xml:space="preserve">y exclusively to </w:t>
      </w:r>
      <w:smartTag w:uri="urn:schemas-microsoft-com:office:smarttags" w:element="country-region">
        <w:smartTag w:uri="urn:schemas-microsoft-com:office:smarttags" w:element="place">
          <w:r>
            <w:t>South Africa</w:t>
          </w:r>
        </w:smartTag>
      </w:smartTag>
      <w:r w:rsidRPr="00A825D6">
        <w:rPr>
          <w:lang w:val="en-GB"/>
        </w:rPr>
        <w:t xml:space="preserve">. </w:t>
      </w:r>
      <w:r w:rsidRPr="00360FE6">
        <w:rPr>
          <w:lang w:val="en-US"/>
        </w:rPr>
        <w:t>Nonetheless,</w:t>
      </w:r>
      <w:r w:rsidRPr="00007F22">
        <w:t xml:space="preserve"> </w:t>
      </w:r>
      <w:r w:rsidRPr="00360FE6">
        <w:rPr>
          <w:lang w:val="en-US"/>
        </w:rPr>
        <w:t>it continues to inform the prohibition of apartheid in international law</w:t>
      </w:r>
      <w:r>
        <w:rPr>
          <w:lang w:val="en-US"/>
        </w:rPr>
        <w:t>.</w:t>
      </w:r>
    </w:p>
  </w:footnote>
  <w:footnote w:id="62">
    <w:p w:rsidR="008518FD" w:rsidRPr="00F753F9" w:rsidRDefault="008518FD" w:rsidP="007F5C54">
      <w:pPr>
        <w:pStyle w:val="FootnoteText"/>
      </w:pPr>
      <w:r w:rsidRPr="00360FE6">
        <w:rPr>
          <w:lang w:val="en-US"/>
        </w:rPr>
        <w:tab/>
      </w:r>
      <w:r>
        <w:rPr>
          <w:rStyle w:val="FootnoteReference"/>
        </w:rPr>
        <w:footnoteRef/>
      </w:r>
      <w:r w:rsidRPr="00360FE6">
        <w:rPr>
          <w:lang w:val="en-US"/>
        </w:rPr>
        <w:tab/>
        <w:t xml:space="preserve">E.g. </w:t>
      </w:r>
      <w:r>
        <w:t>A/68/502, A/67/372, A/66/356, A/65/366,</w:t>
      </w:r>
      <w:r w:rsidRPr="00046A1D">
        <w:t xml:space="preserve"> </w:t>
      </w:r>
      <w:r>
        <w:t>A/HRC/22/35; General Assembly resolution 67/118; and Human Rights Council resolutions 22/28</w:t>
      </w:r>
      <w:r>
        <w:rPr>
          <w:lang w:val="en-GB"/>
        </w:rPr>
        <w:t xml:space="preserve"> and</w:t>
      </w:r>
      <w:r>
        <w:t xml:space="preserve"> 19/16.</w:t>
      </w:r>
    </w:p>
  </w:footnote>
  <w:footnote w:id="63">
    <w:p w:rsidR="008518FD" w:rsidRPr="00F753F9" w:rsidRDefault="008518FD" w:rsidP="007F5C54">
      <w:pPr>
        <w:pStyle w:val="FootnoteText"/>
      </w:pPr>
      <w:r w:rsidRPr="00360FE6">
        <w:rPr>
          <w:lang w:val="en-US"/>
        </w:rPr>
        <w:tab/>
      </w:r>
      <w:r>
        <w:rPr>
          <w:rStyle w:val="FootnoteReference"/>
        </w:rPr>
        <w:footnoteRef/>
      </w:r>
      <w:r>
        <w:rPr>
          <w:lang w:val="fr-CH"/>
        </w:rPr>
        <w:tab/>
      </w:r>
      <w:r w:rsidRPr="00F753F9">
        <w:t xml:space="preserve">Russell </w:t>
      </w:r>
      <w:r>
        <w:rPr>
          <w:lang w:val="fr-CH"/>
        </w:rPr>
        <w:t>T</w:t>
      </w:r>
      <w:r w:rsidRPr="00F753F9">
        <w:t>ribunal,</w:t>
      </w:r>
      <w:r>
        <w:t xml:space="preserve"> </w:t>
      </w:r>
      <w:r>
        <w:rPr>
          <w:i/>
        </w:rPr>
        <w:t>Findings</w:t>
      </w:r>
      <w:r>
        <w:rPr>
          <w:lang w:val="fr-CH"/>
        </w:rPr>
        <w:t xml:space="preserve"> (</w:t>
      </w:r>
      <w:r w:rsidRPr="00F753F9">
        <w:t>2011</w:t>
      </w:r>
      <w:r>
        <w:rPr>
          <w:lang w:val="fr-CH"/>
        </w:rPr>
        <w:t>), para. 5.22</w:t>
      </w:r>
      <w:r w:rsidRPr="00F753F9">
        <w:t>.</w:t>
      </w:r>
    </w:p>
  </w:footnote>
  <w:footnote w:id="64">
    <w:p w:rsidR="008518FD" w:rsidRPr="00F753F9" w:rsidRDefault="008518FD" w:rsidP="008F4E44">
      <w:pPr>
        <w:pStyle w:val="FootnoteText"/>
      </w:pPr>
      <w:r>
        <w:rPr>
          <w:lang w:val="fr-CH"/>
        </w:rPr>
        <w:tab/>
      </w:r>
      <w:r>
        <w:rPr>
          <w:rStyle w:val="FootnoteReference"/>
        </w:rPr>
        <w:footnoteRef/>
      </w:r>
      <w:r>
        <w:rPr>
          <w:lang w:val="fr-CH"/>
        </w:rPr>
        <w:tab/>
        <w:t xml:space="preserve">See </w:t>
      </w:r>
      <w:r w:rsidRPr="00360FE6">
        <w:rPr>
          <w:lang w:val="fr-CH"/>
        </w:rPr>
        <w:t>www.btselem.org/statistics.</w:t>
      </w:r>
    </w:p>
  </w:footnote>
  <w:footnote w:id="65">
    <w:p w:rsidR="008518FD" w:rsidRPr="00F753F9" w:rsidRDefault="008518FD" w:rsidP="00BD17CF">
      <w:pPr>
        <w:pStyle w:val="FootnoteText"/>
      </w:pPr>
      <w:r>
        <w:rPr>
          <w:lang w:val="fr-CH"/>
        </w:rPr>
        <w:tab/>
      </w:r>
      <w:r>
        <w:rPr>
          <w:rStyle w:val="FootnoteReference"/>
        </w:rPr>
        <w:footnoteRef/>
      </w:r>
      <w:r>
        <w:rPr>
          <w:lang w:val="fr-CH"/>
        </w:rPr>
        <w:tab/>
      </w:r>
      <w:r w:rsidRPr="00F753F9">
        <w:t>Ibid.</w:t>
      </w:r>
    </w:p>
  </w:footnote>
  <w:footnote w:id="66">
    <w:p w:rsidR="008518FD" w:rsidRDefault="008518FD" w:rsidP="00B305C7">
      <w:pPr>
        <w:pStyle w:val="FootnoteText"/>
      </w:pPr>
      <w:r>
        <w:rPr>
          <w:lang w:val="fr-CH"/>
        </w:rPr>
        <w:tab/>
      </w:r>
      <w:r>
        <w:rPr>
          <w:rStyle w:val="FootnoteReference"/>
        </w:rPr>
        <w:footnoteRef/>
      </w:r>
      <w:r>
        <w:rPr>
          <w:lang w:val="fr-CH"/>
        </w:rPr>
        <w:tab/>
        <w:t xml:space="preserve">See </w:t>
      </w:r>
      <w:r w:rsidRPr="00360FE6">
        <w:rPr>
          <w:lang w:val="fr-CH"/>
        </w:rPr>
        <w:t>www.btselem.org/statistics</w:t>
      </w:r>
      <w:r>
        <w:t>.</w:t>
      </w:r>
    </w:p>
  </w:footnote>
  <w:footnote w:id="67">
    <w:p w:rsidR="008518FD" w:rsidRPr="00360FE6" w:rsidRDefault="008518FD" w:rsidP="007F5C54">
      <w:pPr>
        <w:pStyle w:val="FootnoteText"/>
        <w:rPr>
          <w:spacing w:val="-2"/>
        </w:rPr>
      </w:pPr>
      <w:r>
        <w:rPr>
          <w:lang w:val="fr-CH"/>
        </w:rPr>
        <w:tab/>
      </w:r>
      <w:r>
        <w:rPr>
          <w:rStyle w:val="FootnoteReference"/>
        </w:rPr>
        <w:footnoteRef/>
      </w:r>
      <w:r>
        <w:rPr>
          <w:lang w:val="fr-CH"/>
        </w:rPr>
        <w:tab/>
      </w:r>
      <w:r w:rsidRPr="00360FE6">
        <w:rPr>
          <w:rFonts w:eastAsia="Calibri"/>
          <w:i/>
          <w:spacing w:val="-2"/>
        </w:rPr>
        <w:t>Israeli Soldier Testimonies</w:t>
      </w:r>
      <w:r w:rsidRPr="00360FE6">
        <w:rPr>
          <w:spacing w:val="-2"/>
        </w:rPr>
        <w:t xml:space="preserve"> </w:t>
      </w:r>
      <w:r w:rsidRPr="00360FE6">
        <w:rPr>
          <w:i/>
          <w:spacing w:val="-2"/>
        </w:rPr>
        <w:t>2000</w:t>
      </w:r>
      <w:r w:rsidRPr="00360FE6">
        <w:rPr>
          <w:i/>
          <w:spacing w:val="-2"/>
        </w:rPr>
        <w:noBreakHyphen/>
        <w:t>2010</w:t>
      </w:r>
      <w:r w:rsidRPr="00360FE6">
        <w:rPr>
          <w:spacing w:val="-2"/>
        </w:rPr>
        <w:t>, p. 26 (</w:t>
      </w:r>
      <w:r w:rsidRPr="00360FE6">
        <w:rPr>
          <w:rFonts w:eastAsia="Calibri"/>
          <w:spacing w:val="-2"/>
        </w:rPr>
        <w:t>www.breakingthesilence.org.il/testimonies/publications)</w:t>
      </w:r>
      <w:r w:rsidRPr="00360FE6">
        <w:rPr>
          <w:spacing w:val="-2"/>
        </w:rPr>
        <w:t xml:space="preserve">. </w:t>
      </w:r>
    </w:p>
  </w:footnote>
  <w:footnote w:id="68">
    <w:p w:rsidR="008518FD" w:rsidRPr="00F753F9" w:rsidRDefault="008518FD" w:rsidP="007F5C54">
      <w:pPr>
        <w:pStyle w:val="FootnoteText"/>
      </w:pPr>
      <w:r w:rsidRPr="00360FE6">
        <w:rPr>
          <w:lang w:val="en-US"/>
        </w:rPr>
        <w:tab/>
      </w:r>
      <w:r>
        <w:rPr>
          <w:rStyle w:val="FootnoteReference"/>
        </w:rPr>
        <w:footnoteRef/>
      </w:r>
      <w:r w:rsidRPr="00360FE6">
        <w:rPr>
          <w:lang w:val="en-US"/>
        </w:rPr>
        <w:tab/>
      </w:r>
      <w:r>
        <w:t xml:space="preserve">See </w:t>
      </w:r>
      <w:r w:rsidRPr="002A7479">
        <w:t>www.addameer.org/einside.php?id=9</w:t>
      </w:r>
      <w:r>
        <w:t>.</w:t>
      </w:r>
    </w:p>
  </w:footnote>
  <w:footnote w:id="69">
    <w:p w:rsidR="008518FD" w:rsidRPr="00F753F9" w:rsidRDefault="008518FD" w:rsidP="007F5C54">
      <w:pPr>
        <w:pStyle w:val="FootnoteText"/>
      </w:pPr>
      <w:r w:rsidRPr="00360FE6">
        <w:rPr>
          <w:lang w:val="en-US"/>
        </w:rPr>
        <w:tab/>
      </w:r>
      <w:r>
        <w:rPr>
          <w:rStyle w:val="FootnoteReference"/>
        </w:rPr>
        <w:footnoteRef/>
      </w:r>
      <w:r w:rsidRPr="00360FE6">
        <w:rPr>
          <w:lang w:val="en-US"/>
        </w:rPr>
        <w:tab/>
      </w:r>
      <w:r>
        <w:t xml:space="preserve">See </w:t>
      </w:r>
      <w:r w:rsidRPr="004C209B">
        <w:t>www.addameer.org/etemplate.php?id=302</w:t>
      </w:r>
      <w:r>
        <w:t>.</w:t>
      </w:r>
    </w:p>
  </w:footnote>
  <w:footnote w:id="70">
    <w:p w:rsidR="008518FD" w:rsidRPr="00F753F9" w:rsidRDefault="008518FD" w:rsidP="007F5C54">
      <w:pPr>
        <w:pStyle w:val="FootnoteText"/>
      </w:pPr>
      <w:r w:rsidRPr="00360FE6">
        <w:rPr>
          <w:lang w:val="en-US"/>
        </w:rPr>
        <w:tab/>
      </w:r>
      <w:r>
        <w:rPr>
          <w:rStyle w:val="FootnoteReference"/>
        </w:rPr>
        <w:footnoteRef/>
      </w:r>
      <w:r w:rsidRPr="00360FE6">
        <w:rPr>
          <w:lang w:val="en-US"/>
        </w:rPr>
        <w:tab/>
      </w:r>
      <w:r w:rsidRPr="005B4C97">
        <w:t>Draft Articles.</w:t>
      </w:r>
    </w:p>
  </w:footnote>
  <w:footnote w:id="71">
    <w:p w:rsidR="008518FD" w:rsidRPr="00F753F9" w:rsidRDefault="008518FD" w:rsidP="007F5C54">
      <w:pPr>
        <w:pStyle w:val="FootnoteText"/>
      </w:pPr>
      <w:r w:rsidRPr="00360FE6">
        <w:rPr>
          <w:lang w:val="en-US"/>
        </w:rPr>
        <w:tab/>
      </w:r>
      <w:r>
        <w:rPr>
          <w:rStyle w:val="FootnoteReference"/>
        </w:rPr>
        <w:footnoteRef/>
      </w:r>
      <w:r w:rsidRPr="00360FE6">
        <w:rPr>
          <w:lang w:val="en-US"/>
        </w:rPr>
        <w:tab/>
      </w:r>
      <w:r>
        <w:t>A/68/379.</w:t>
      </w:r>
    </w:p>
  </w:footnote>
  <w:footnote w:id="72">
    <w:p w:rsidR="008518FD" w:rsidRPr="00F753F9" w:rsidRDefault="008518FD" w:rsidP="007F5C54">
      <w:pPr>
        <w:pStyle w:val="FootnoteText"/>
      </w:pPr>
      <w:r w:rsidRPr="00360FE6">
        <w:rPr>
          <w:lang w:val="en-US"/>
        </w:rPr>
        <w:tab/>
      </w:r>
      <w:r>
        <w:rPr>
          <w:rStyle w:val="FootnoteReference"/>
        </w:rPr>
        <w:footnoteRef/>
      </w:r>
      <w:r w:rsidRPr="00360FE6">
        <w:rPr>
          <w:lang w:val="en-US"/>
        </w:rPr>
        <w:tab/>
      </w:r>
      <w:hyperlink r:id="rId11" w:history="1">
        <w:r>
          <w:rPr>
            <w:rStyle w:val="Hyperlink"/>
            <w:rFonts w:eastAsia="Calibri"/>
          </w:rPr>
          <w:t xml:space="preserve">See </w:t>
        </w:r>
        <w:r w:rsidRPr="00B3404D">
          <w:rPr>
            <w:rStyle w:val="Hyperlink"/>
            <w:rFonts w:eastAsia="Calibri"/>
          </w:rPr>
          <w:t>www.addameer.org/etemplate.php?id=294</w:t>
        </w:r>
      </w:hyperlink>
      <w:r>
        <w:t xml:space="preserve"> and </w:t>
      </w:r>
      <w:hyperlink r:id="rId12" w:history="1">
        <w:r w:rsidRPr="00C4360B">
          <w:rPr>
            <w:rStyle w:val="Hyperlink"/>
          </w:rPr>
          <w:t>www.stoptorture.org.il/en/</w:t>
        </w:r>
      </w:hyperlink>
      <w:r w:rsidRPr="00D703E5">
        <w:t>skira1999</w:t>
      </w:r>
      <w:r>
        <w:t>-</w:t>
      </w:r>
      <w:r w:rsidRPr="00D703E5">
        <w:t>present</w:t>
      </w:r>
      <w:r>
        <w:t>.</w:t>
      </w:r>
    </w:p>
  </w:footnote>
  <w:footnote w:id="73">
    <w:p w:rsidR="008518FD" w:rsidRDefault="008518FD" w:rsidP="007F5C54">
      <w:pPr>
        <w:pStyle w:val="FootnoteText"/>
      </w:pPr>
      <w:r w:rsidRPr="00360FE6">
        <w:rPr>
          <w:lang w:val="en-US"/>
        </w:rPr>
        <w:tab/>
      </w:r>
      <w:r>
        <w:rPr>
          <w:rStyle w:val="FootnoteReference"/>
        </w:rPr>
        <w:footnoteRef/>
      </w:r>
      <w:r w:rsidRPr="00360FE6">
        <w:rPr>
          <w:lang w:val="en-US"/>
        </w:rPr>
        <w:tab/>
      </w:r>
      <w:r>
        <w:t xml:space="preserve">See </w:t>
      </w:r>
      <w:r w:rsidRPr="00AC047B">
        <w:t>www.btselem.org/torture/hcj_ruling</w:t>
      </w:r>
      <w:r>
        <w:t>.</w:t>
      </w:r>
    </w:p>
  </w:footnote>
  <w:footnote w:id="74">
    <w:p w:rsidR="008518FD" w:rsidRDefault="008518FD" w:rsidP="007F5C54">
      <w:pPr>
        <w:pStyle w:val="FootnoteText"/>
      </w:pPr>
      <w:r w:rsidRPr="00360FE6">
        <w:rPr>
          <w:lang w:val="en-US"/>
        </w:rPr>
        <w:tab/>
      </w:r>
      <w:r>
        <w:rPr>
          <w:rStyle w:val="FootnoteReference"/>
        </w:rPr>
        <w:footnoteRef/>
      </w:r>
      <w:r w:rsidRPr="00360FE6">
        <w:rPr>
          <w:lang w:val="en-US"/>
        </w:rPr>
        <w:tab/>
      </w:r>
      <w:r>
        <w:t xml:space="preserve">See </w:t>
      </w:r>
      <w:r w:rsidRPr="000C1865">
        <w:t>www.addameer.org/etemplate.php?id=294</w:t>
      </w:r>
      <w:r>
        <w:t>.</w:t>
      </w:r>
    </w:p>
  </w:footnote>
  <w:footnote w:id="75">
    <w:p w:rsidR="008518FD" w:rsidRPr="001A07AC" w:rsidRDefault="008518FD" w:rsidP="00DE2621">
      <w:pPr>
        <w:pStyle w:val="FootnoteText"/>
        <w:rPr>
          <w:lang w:val="en-GB"/>
        </w:rPr>
      </w:pPr>
      <w:r w:rsidRPr="00360FE6">
        <w:rPr>
          <w:lang w:val="en-US"/>
        </w:rPr>
        <w:tab/>
      </w:r>
      <w:r>
        <w:rPr>
          <w:rStyle w:val="FootnoteReference"/>
        </w:rPr>
        <w:footnoteRef/>
      </w:r>
      <w:r w:rsidRPr="00360FE6">
        <w:rPr>
          <w:lang w:val="en-US"/>
        </w:rPr>
        <w:tab/>
      </w:r>
      <w:r>
        <w:rPr>
          <w:rFonts w:eastAsia="Calibri"/>
          <w:i/>
        </w:rPr>
        <w:t xml:space="preserve">Accountability Still Denied </w:t>
      </w:r>
      <w:r>
        <w:rPr>
          <w:rFonts w:eastAsia="Calibri"/>
        </w:rPr>
        <w:t>(2012), p. 4</w:t>
      </w:r>
      <w:r w:rsidRPr="00360FE6">
        <w:rPr>
          <w:rFonts w:eastAsia="Calibri"/>
        </w:rPr>
        <w:t xml:space="preserve"> </w:t>
      </w:r>
      <w:r>
        <w:rPr>
          <w:rFonts w:eastAsia="Calibri"/>
        </w:rPr>
        <w:t>(</w:t>
      </w:r>
      <w:r w:rsidRPr="00360FE6">
        <w:rPr>
          <w:rFonts w:eastAsia="Calibri"/>
        </w:rPr>
        <w:t>www.stoptorture.org.il/files/PCATI_eng_web.pdf</w:t>
      </w:r>
      <w:r>
        <w:rPr>
          <w:rFonts w:eastAsia="Calibri"/>
        </w:rPr>
        <w:t>)</w:t>
      </w:r>
      <w:r>
        <w:t xml:space="preserve">. </w:t>
      </w:r>
      <w:r w:rsidRPr="00360FE6">
        <w:rPr>
          <w:lang w:val="en-US"/>
        </w:rPr>
        <w:t>The</w:t>
      </w:r>
      <w:r>
        <w:t xml:space="preserve"> formal complaint</w:t>
      </w:r>
      <w:r w:rsidRPr="00360FE6">
        <w:rPr>
          <w:lang w:val="en-US"/>
        </w:rPr>
        <w:t>s may not be representative of the actual number of victims.</w:t>
      </w:r>
    </w:p>
  </w:footnote>
  <w:footnote w:id="76">
    <w:p w:rsidR="008518FD" w:rsidRPr="00F753F9" w:rsidRDefault="008518FD" w:rsidP="00DE2621">
      <w:pPr>
        <w:pStyle w:val="FootnoteText"/>
      </w:pPr>
      <w:r w:rsidRPr="00360FE6">
        <w:rPr>
          <w:lang w:val="en-US"/>
        </w:rPr>
        <w:tab/>
      </w:r>
      <w:r>
        <w:rPr>
          <w:rStyle w:val="FootnoteReference"/>
        </w:rPr>
        <w:footnoteRef/>
      </w:r>
      <w:r w:rsidRPr="00360FE6">
        <w:rPr>
          <w:lang w:val="en-US"/>
        </w:rPr>
        <w:tab/>
      </w:r>
      <w:r w:rsidRPr="00360FE6">
        <w:rPr>
          <w:i/>
        </w:rPr>
        <w:t>Children in Israeli Military Detention</w:t>
      </w:r>
      <w:r w:rsidRPr="00360FE6">
        <w:t>, p. 1 (www.unicef.org/oPt/UNICEF_oPt_Children_in_Israeli_</w:t>
      </w:r>
      <w:r>
        <w:t xml:space="preserve"> </w:t>
      </w:r>
      <w:r w:rsidRPr="00360FE6">
        <w:t>Military_Detention_Observations</w:t>
      </w:r>
      <w:r w:rsidRPr="003A2738">
        <w:t>_and_Recommendations_-_6_March_2013.pdf</w:t>
      </w:r>
      <w:r>
        <w:t>).</w:t>
      </w:r>
    </w:p>
  </w:footnote>
  <w:footnote w:id="77">
    <w:p w:rsidR="008518FD" w:rsidRPr="00F753F9" w:rsidRDefault="008518FD" w:rsidP="00DE2621">
      <w:pPr>
        <w:pStyle w:val="FootnoteText"/>
      </w:pPr>
      <w:r w:rsidRPr="00360FE6">
        <w:rPr>
          <w:lang w:val="en-US"/>
        </w:rPr>
        <w:tab/>
      </w:r>
      <w:r>
        <w:rPr>
          <w:rStyle w:val="FootnoteReference"/>
        </w:rPr>
        <w:footnoteRef/>
      </w:r>
      <w:r w:rsidRPr="00360FE6">
        <w:rPr>
          <w:lang w:val="en-US"/>
        </w:rPr>
        <w:tab/>
      </w:r>
      <w:r>
        <w:rPr>
          <w:lang w:val="en-US"/>
        </w:rPr>
        <w:t xml:space="preserve">See </w:t>
      </w:r>
      <w:hyperlink r:id="rId13" w:history="1">
        <w:r w:rsidRPr="00360FE6">
          <w:rPr>
            <w:rStyle w:val="Hyperlink"/>
            <w:spacing w:val="-2"/>
          </w:rPr>
          <w:t>www.unicef.org/oPt/UNICEF_oPt_Children_in_Military_Detention_Bulletin_</w:t>
        </w:r>
      </w:hyperlink>
      <w:r w:rsidRPr="00360FE6">
        <w:rPr>
          <w:spacing w:val="-2"/>
          <w:lang w:val="en-GB"/>
        </w:rPr>
        <w:t>No_1_</w:t>
      </w:r>
      <w:r>
        <w:rPr>
          <w:spacing w:val="-2"/>
          <w:lang w:val="en-GB"/>
        </w:rPr>
        <w:t xml:space="preserve"> </w:t>
      </w:r>
      <w:r w:rsidRPr="00360FE6">
        <w:rPr>
          <w:spacing w:val="-2"/>
          <w:lang w:val="en-GB"/>
        </w:rPr>
        <w:t>October_2013.pdf.</w:t>
      </w:r>
    </w:p>
  </w:footnote>
  <w:footnote w:id="78">
    <w:p w:rsidR="008518FD" w:rsidRPr="00F753F9" w:rsidRDefault="008518FD" w:rsidP="007F5C54">
      <w:pPr>
        <w:pStyle w:val="FootnoteText"/>
      </w:pPr>
      <w:r w:rsidRPr="00360FE6">
        <w:rPr>
          <w:lang w:val="en-US"/>
        </w:rPr>
        <w:tab/>
      </w:r>
      <w:r>
        <w:rPr>
          <w:rStyle w:val="FootnoteReference"/>
        </w:rPr>
        <w:footnoteRef/>
      </w:r>
      <w:r w:rsidRPr="00360FE6">
        <w:rPr>
          <w:lang w:val="en-US"/>
        </w:rPr>
        <w:tab/>
      </w:r>
      <w:r>
        <w:rPr>
          <w:lang w:val="en-US"/>
        </w:rPr>
        <w:t xml:space="preserve">See also </w:t>
      </w:r>
      <w:r w:rsidRPr="00F753F9">
        <w:t xml:space="preserve">A/68/379 and </w:t>
      </w:r>
      <w:r w:rsidRPr="0005293E">
        <w:t>CRC/C/ISR/CO/2-4</w:t>
      </w:r>
      <w:r>
        <w:t>.</w:t>
      </w:r>
    </w:p>
  </w:footnote>
  <w:footnote w:id="79">
    <w:p w:rsidR="008518FD" w:rsidRPr="00F753F9" w:rsidRDefault="008518FD" w:rsidP="007F5C54">
      <w:pPr>
        <w:pStyle w:val="FootnoteText"/>
      </w:pPr>
      <w:r w:rsidRPr="00360FE6">
        <w:rPr>
          <w:lang w:val="en-US"/>
        </w:rPr>
        <w:tab/>
      </w:r>
      <w:r>
        <w:rPr>
          <w:rStyle w:val="FootnoteReference"/>
        </w:rPr>
        <w:footnoteRef/>
      </w:r>
      <w:r w:rsidRPr="00360FE6">
        <w:rPr>
          <w:lang w:val="en-US"/>
        </w:rPr>
        <w:tab/>
      </w:r>
      <w:r>
        <w:t xml:space="preserve">See </w:t>
      </w:r>
      <w:r w:rsidRPr="005C725A">
        <w:t>www.dci-palestine.org/content/child-detainees</w:t>
      </w:r>
      <w:r>
        <w:t>.</w:t>
      </w:r>
    </w:p>
  </w:footnote>
  <w:footnote w:id="80">
    <w:p w:rsidR="008518FD" w:rsidRDefault="008518FD" w:rsidP="007F5C54">
      <w:pPr>
        <w:pStyle w:val="FootnoteText"/>
      </w:pPr>
      <w:r w:rsidRPr="00360FE6">
        <w:rPr>
          <w:lang w:val="en-US"/>
        </w:rPr>
        <w:tab/>
      </w:r>
      <w:r>
        <w:rPr>
          <w:rStyle w:val="FootnoteReference"/>
        </w:rPr>
        <w:footnoteRef/>
      </w:r>
      <w:r w:rsidRPr="00360FE6">
        <w:rPr>
          <w:lang w:val="en-US"/>
        </w:rPr>
        <w:tab/>
      </w:r>
      <w:r>
        <w:t xml:space="preserve">See </w:t>
      </w:r>
      <w:r w:rsidRPr="007D73F0">
        <w:t>www.addameer.org/etemplate.php?id=296</w:t>
      </w:r>
      <w:r>
        <w:t>.</w:t>
      </w:r>
    </w:p>
  </w:footnote>
  <w:footnote w:id="81">
    <w:p w:rsidR="008518FD" w:rsidRPr="001A07AC" w:rsidRDefault="008518FD" w:rsidP="00DE2621">
      <w:pPr>
        <w:widowControl w:val="0"/>
        <w:tabs>
          <w:tab w:val="right" w:pos="1021"/>
        </w:tabs>
        <w:suppressAutoHyphens w:val="0"/>
        <w:autoSpaceDE w:val="0"/>
        <w:autoSpaceDN w:val="0"/>
        <w:adjustRightInd w:val="0"/>
        <w:spacing w:line="220" w:lineRule="exact"/>
        <w:ind w:left="1134" w:right="1134" w:hanging="1134"/>
        <w:rPr>
          <w:lang w:val="x-none"/>
        </w:rPr>
      </w:pPr>
      <w:r>
        <w:tab/>
      </w:r>
      <w:r w:rsidRPr="001A07AC">
        <w:rPr>
          <w:rStyle w:val="FootnoteReference"/>
          <w:lang w:val="x-none"/>
        </w:rPr>
        <w:footnoteRef/>
      </w:r>
      <w:r>
        <w:tab/>
      </w:r>
      <w:r w:rsidRPr="001A07AC">
        <w:rPr>
          <w:sz w:val="18"/>
        </w:rPr>
        <w:t xml:space="preserve">The United Nations has questioned whether </w:t>
      </w:r>
      <w:smartTag w:uri="urn:schemas-microsoft-com:office:smarttags" w:element="City">
        <w:smartTag w:uri="urn:schemas-microsoft-com:office:smarttags" w:element="place">
          <w:r w:rsidRPr="001A07AC">
            <w:rPr>
              <w:sz w:val="18"/>
            </w:rPr>
            <w:t>Gaza</w:t>
          </w:r>
        </w:smartTag>
      </w:smartTag>
      <w:r w:rsidRPr="001A07AC">
        <w:rPr>
          <w:sz w:val="18"/>
        </w:rPr>
        <w:t xml:space="preserve"> will be a liveable place in 2020 (“</w:t>
      </w:r>
      <w:r w:rsidRPr="00360FE6">
        <w:rPr>
          <w:i/>
          <w:sz w:val="18"/>
        </w:rPr>
        <w:t xml:space="preserve">Gaza in 2020: </w:t>
      </w:r>
      <w:r>
        <w:rPr>
          <w:i/>
          <w:sz w:val="18"/>
        </w:rPr>
        <w:t>A</w:t>
      </w:r>
      <w:r w:rsidRPr="00360FE6">
        <w:rPr>
          <w:i/>
          <w:sz w:val="18"/>
        </w:rPr>
        <w:t xml:space="preserve"> </w:t>
      </w:r>
      <w:r>
        <w:rPr>
          <w:i/>
          <w:sz w:val="18"/>
        </w:rPr>
        <w:t>L</w:t>
      </w:r>
      <w:r w:rsidRPr="00360FE6">
        <w:rPr>
          <w:i/>
          <w:sz w:val="18"/>
        </w:rPr>
        <w:t xml:space="preserve">iveable </w:t>
      </w:r>
      <w:r>
        <w:rPr>
          <w:i/>
          <w:sz w:val="18"/>
        </w:rPr>
        <w:t>P</w:t>
      </w:r>
      <w:r w:rsidRPr="00360FE6">
        <w:rPr>
          <w:i/>
          <w:sz w:val="18"/>
        </w:rPr>
        <w:t>lace</w:t>
      </w:r>
      <w:r w:rsidRPr="001A07AC">
        <w:rPr>
          <w:sz w:val="18"/>
        </w:rPr>
        <w:t>?” 2012)</w:t>
      </w:r>
      <w:r>
        <w:rPr>
          <w:sz w:val="18"/>
        </w:rPr>
        <w:t>.</w:t>
      </w:r>
      <w:r w:rsidRPr="001A07AC">
        <w:rPr>
          <w:sz w:val="18"/>
        </w:rPr>
        <w:t xml:space="preserve"> Considering the situation in </w:t>
      </w:r>
      <w:smartTag w:uri="urn:schemas-microsoft-com:office:smarttags" w:element="City">
        <w:smartTag w:uri="urn:schemas-microsoft-com:office:smarttags" w:element="place">
          <w:r w:rsidRPr="001A07AC">
            <w:rPr>
              <w:sz w:val="18"/>
            </w:rPr>
            <w:t>Gaza</w:t>
          </w:r>
        </w:smartTag>
      </w:smartTag>
      <w:r w:rsidRPr="001A07AC">
        <w:rPr>
          <w:sz w:val="18"/>
        </w:rPr>
        <w:t>,</w:t>
      </w:r>
      <w:r>
        <w:rPr>
          <w:sz w:val="18"/>
        </w:rPr>
        <w:t xml:space="preserve"> </w:t>
      </w:r>
      <w:r w:rsidRPr="001A07AC">
        <w:rPr>
          <w:sz w:val="18"/>
        </w:rPr>
        <w:t xml:space="preserve">the Russell Tribunal found </w:t>
      </w:r>
      <w:r>
        <w:rPr>
          <w:sz w:val="18"/>
        </w:rPr>
        <w:t xml:space="preserve">that </w:t>
      </w:r>
      <w:r w:rsidRPr="001A07AC">
        <w:rPr>
          <w:sz w:val="18"/>
        </w:rPr>
        <w:t>Israeli policies aimed at causing displacement of Palestinians, rather than their physical destruction.</w:t>
      </w:r>
    </w:p>
  </w:footnote>
  <w:footnote w:id="82">
    <w:p w:rsidR="008518FD" w:rsidRPr="00360FE6" w:rsidRDefault="008518FD" w:rsidP="007F5C54">
      <w:pPr>
        <w:pStyle w:val="FootnoteText"/>
        <w:rPr>
          <w:lang w:val="en-US"/>
        </w:rPr>
      </w:pPr>
      <w:r w:rsidRPr="00360FE6">
        <w:rPr>
          <w:lang w:val="en-US"/>
        </w:rPr>
        <w:tab/>
      </w:r>
      <w:r>
        <w:rPr>
          <w:rStyle w:val="FootnoteReference"/>
        </w:rPr>
        <w:footnoteRef/>
      </w:r>
      <w:r w:rsidRPr="00360FE6">
        <w:rPr>
          <w:lang w:val="en-US"/>
        </w:rPr>
        <w:tab/>
        <w:t>Information from Diakonia</w:t>
      </w:r>
      <w:r>
        <w:rPr>
          <w:lang w:val="en-US"/>
        </w:rPr>
        <w:t>.</w:t>
      </w:r>
    </w:p>
  </w:footnote>
  <w:footnote w:id="83">
    <w:p w:rsidR="008518FD" w:rsidRPr="00F753F9" w:rsidRDefault="008518FD" w:rsidP="007F5C54">
      <w:pPr>
        <w:pStyle w:val="FootnoteText"/>
      </w:pPr>
      <w:r w:rsidRPr="00360FE6">
        <w:rPr>
          <w:lang w:val="en-US"/>
        </w:rPr>
        <w:tab/>
      </w:r>
      <w:r>
        <w:rPr>
          <w:rStyle w:val="FootnoteReference"/>
        </w:rPr>
        <w:footnoteRef/>
      </w:r>
      <w:r>
        <w:t xml:space="preserve"> </w:t>
      </w:r>
      <w:r w:rsidRPr="00360FE6">
        <w:rPr>
          <w:lang w:val="en-US"/>
        </w:rPr>
        <w:tab/>
      </w:r>
      <w:r w:rsidRPr="00F753F9">
        <w:t xml:space="preserve">Russell </w:t>
      </w:r>
      <w:r w:rsidRPr="00360FE6">
        <w:rPr>
          <w:lang w:val="en-US"/>
        </w:rPr>
        <w:t>T</w:t>
      </w:r>
      <w:r w:rsidRPr="00F753F9">
        <w:t xml:space="preserve">ribunal, </w:t>
      </w:r>
      <w:r w:rsidRPr="00360FE6">
        <w:rPr>
          <w:i/>
        </w:rPr>
        <w:t>Fin</w:t>
      </w:r>
      <w:r>
        <w:rPr>
          <w:i/>
        </w:rPr>
        <w:t>dings</w:t>
      </w:r>
      <w:r>
        <w:t>, para. 5.39</w:t>
      </w:r>
      <w:r w:rsidRPr="00F753F9">
        <w:t>.</w:t>
      </w:r>
    </w:p>
  </w:footnote>
  <w:footnote w:id="84">
    <w:p w:rsidR="008518FD" w:rsidRPr="00F753F9" w:rsidRDefault="008518FD" w:rsidP="00DE2621">
      <w:pPr>
        <w:pStyle w:val="FootnoteText"/>
      </w:pPr>
      <w:r w:rsidRPr="00360FE6">
        <w:rPr>
          <w:lang w:val="en-US"/>
        </w:rPr>
        <w:tab/>
      </w:r>
      <w:r>
        <w:rPr>
          <w:rStyle w:val="FootnoteReference"/>
        </w:rPr>
        <w:footnoteRef/>
      </w:r>
      <w:r w:rsidRPr="00360FE6">
        <w:rPr>
          <w:lang w:val="en-US"/>
        </w:rPr>
        <w:tab/>
      </w:r>
      <w:r>
        <w:rPr>
          <w:lang w:val="en-US"/>
        </w:rPr>
        <w:t xml:space="preserve">See </w:t>
      </w:r>
      <w:hyperlink r:id="rId14" w:history="1">
        <w:r w:rsidRPr="0087080E">
          <w:rPr>
            <w:rStyle w:val="Hyperlink"/>
          </w:rPr>
          <w:t>http://unispal.un.org/UNISPAL.NSF/1ce874ab1832a53e852570bb006dfaf6/57c45a3dd0d46b</w:t>
        </w:r>
      </w:hyperlink>
      <w:r>
        <w:t xml:space="preserve"> </w:t>
      </w:r>
      <w:r w:rsidRPr="009878D3">
        <w:t>09802564740045cc0a?OpenDocument</w:t>
      </w:r>
      <w:r>
        <w:t>.</w:t>
      </w:r>
    </w:p>
  </w:footnote>
  <w:footnote w:id="85">
    <w:p w:rsidR="008518FD" w:rsidRPr="00F753F9" w:rsidRDefault="008518FD" w:rsidP="007F5C54">
      <w:pPr>
        <w:pStyle w:val="FootnoteText"/>
      </w:pPr>
      <w:r w:rsidRPr="00360FE6">
        <w:rPr>
          <w:lang w:val="en-US"/>
        </w:rPr>
        <w:tab/>
      </w:r>
      <w:r>
        <w:rPr>
          <w:rStyle w:val="FootnoteReference"/>
        </w:rPr>
        <w:footnoteRef/>
      </w:r>
      <w:r w:rsidRPr="00360FE6">
        <w:rPr>
          <w:lang w:val="en-US"/>
        </w:rPr>
        <w:tab/>
      </w:r>
      <w:r w:rsidRPr="00360FE6">
        <w:rPr>
          <w:rFonts w:eastAsia="Calibri"/>
        </w:rPr>
        <w:t>See www.business-humanrights.org/Links/Repository/1023856</w:t>
      </w:r>
      <w:r>
        <w:t xml:space="preserve">, </w:t>
      </w:r>
      <w:hyperlink r:id="rId15" w:history="1">
        <w:r w:rsidRPr="00C4360B">
          <w:rPr>
            <w:rStyle w:val="Hyperlink"/>
          </w:rPr>
          <w:t>http://www.dci-palestine.org/</w:t>
        </w:r>
      </w:hyperlink>
      <w:r>
        <w:t xml:space="preserve"> </w:t>
      </w:r>
      <w:r w:rsidRPr="001E53F4">
        <w:t>documents/palestinian-children-invisible-workers-israeli-settlements</w:t>
      </w:r>
      <w:r>
        <w:t>.</w:t>
      </w:r>
    </w:p>
  </w:footnote>
  <w:footnote w:id="86">
    <w:p w:rsidR="008518FD" w:rsidRPr="00F753F9" w:rsidRDefault="008518FD" w:rsidP="007F5C54">
      <w:pPr>
        <w:pStyle w:val="FootnoteText"/>
      </w:pPr>
      <w:r w:rsidRPr="00360FE6">
        <w:rPr>
          <w:lang w:val="en-US"/>
        </w:rPr>
        <w:tab/>
      </w:r>
      <w:r>
        <w:rPr>
          <w:rStyle w:val="FootnoteReference"/>
        </w:rPr>
        <w:footnoteRef/>
      </w:r>
      <w:r>
        <w:rPr>
          <w:lang w:val="fr-CH"/>
        </w:rPr>
        <w:tab/>
      </w:r>
      <w:r w:rsidRPr="004A0B71">
        <w:t xml:space="preserve">Russell </w:t>
      </w:r>
      <w:r>
        <w:rPr>
          <w:lang w:val="fr-CH"/>
        </w:rPr>
        <w:t>T</w:t>
      </w:r>
      <w:r w:rsidRPr="004A0B71">
        <w:t>ribunal</w:t>
      </w:r>
      <w:r>
        <w:t xml:space="preserve">, </w:t>
      </w:r>
      <w:r>
        <w:rPr>
          <w:i/>
        </w:rPr>
        <w:t>Findings</w:t>
      </w:r>
      <w:r>
        <w:t>, para. 5.40</w:t>
      </w:r>
      <w:r w:rsidRPr="004A0B71">
        <w:t>.</w:t>
      </w:r>
    </w:p>
  </w:footnote>
  <w:footnote w:id="87">
    <w:p w:rsidR="008518FD" w:rsidRDefault="008518FD" w:rsidP="007F5C54">
      <w:pPr>
        <w:pStyle w:val="FootnoteText"/>
      </w:pPr>
      <w:r>
        <w:rPr>
          <w:lang w:val="fr-CH"/>
        </w:rPr>
        <w:tab/>
      </w:r>
      <w:r>
        <w:rPr>
          <w:rStyle w:val="FootnoteReference"/>
        </w:rPr>
        <w:footnoteRef/>
      </w:r>
      <w:r>
        <w:rPr>
          <w:lang w:val="fr-CH"/>
        </w:rPr>
        <w:tab/>
        <w:t xml:space="preserve">See </w:t>
      </w:r>
      <w:r w:rsidRPr="000B14C0">
        <w:t>www.ohchr.org/EN/NewsEvents/Pages/DisplayNews.aspx?NewsID=13626&amp;LangID=E</w:t>
      </w:r>
      <w:r>
        <w:t>.</w:t>
      </w:r>
    </w:p>
  </w:footnote>
  <w:footnote w:id="88">
    <w:p w:rsidR="008518FD" w:rsidRPr="00360FE6" w:rsidRDefault="008518FD">
      <w:pPr>
        <w:pStyle w:val="FootnoteText"/>
        <w:rPr>
          <w:lang w:val="en-US"/>
        </w:rPr>
      </w:pPr>
      <w:r>
        <w:tab/>
      </w:r>
      <w:r>
        <w:rPr>
          <w:rStyle w:val="FootnoteReference"/>
        </w:rPr>
        <w:footnoteRef/>
      </w:r>
      <w:r>
        <w:tab/>
        <w:t>Ibid.</w:t>
      </w:r>
    </w:p>
  </w:footnote>
  <w:footnote w:id="89">
    <w:p w:rsidR="008518FD" w:rsidRDefault="008518FD" w:rsidP="007F5C54">
      <w:pPr>
        <w:pStyle w:val="FootnoteText"/>
      </w:pPr>
      <w:r>
        <w:rPr>
          <w:lang w:val="fr-CH"/>
        </w:rPr>
        <w:tab/>
      </w:r>
      <w:r>
        <w:rPr>
          <w:rStyle w:val="FootnoteReference"/>
        </w:rPr>
        <w:footnoteRef/>
      </w:r>
      <w:r>
        <w:rPr>
          <w:lang w:val="fr-CH"/>
        </w:rPr>
        <w:tab/>
      </w:r>
      <w:r>
        <w:t xml:space="preserve">See </w:t>
      </w:r>
      <w:r w:rsidRPr="003C34A7">
        <w:t>www.wri-irg.org/node/20565</w:t>
      </w:r>
      <w:r>
        <w:t>.</w:t>
      </w:r>
    </w:p>
  </w:footnote>
  <w:footnote w:id="90">
    <w:p w:rsidR="008518FD" w:rsidRPr="008F5FE5" w:rsidRDefault="008518FD" w:rsidP="007F5C54">
      <w:pPr>
        <w:pStyle w:val="FootnoteText"/>
      </w:pPr>
      <w:r>
        <w:rPr>
          <w:lang w:val="fr-CH"/>
        </w:rPr>
        <w:tab/>
      </w:r>
      <w:r>
        <w:rPr>
          <w:rStyle w:val="FootnoteReference"/>
        </w:rPr>
        <w:footnoteRef/>
      </w:r>
      <w:r w:rsidRPr="00DE2621">
        <w:rPr>
          <w:lang w:val="fr-CH"/>
        </w:rPr>
        <w:tab/>
      </w:r>
      <w:r w:rsidRPr="00360FE6">
        <w:rPr>
          <w:lang w:val="fr-CH"/>
        </w:rPr>
        <w:t xml:space="preserve">Draft </w:t>
      </w:r>
      <w:r>
        <w:rPr>
          <w:lang w:val="fr-CH"/>
        </w:rPr>
        <w:t>A</w:t>
      </w:r>
      <w:r w:rsidRPr="00360FE6">
        <w:rPr>
          <w:lang w:val="fr-CH"/>
        </w:rPr>
        <w:t>rticles</w:t>
      </w:r>
      <w:r w:rsidRPr="008F5FE5">
        <w:t xml:space="preserve">, </w:t>
      </w:r>
      <w:r>
        <w:t>c</w:t>
      </w:r>
      <w:r w:rsidRPr="008F5FE5">
        <w:t>hap</w:t>
      </w:r>
      <w:r w:rsidRPr="00360FE6">
        <w:rPr>
          <w:lang w:val="fr-CH"/>
        </w:rPr>
        <w:t>. </w:t>
      </w:r>
      <w:r w:rsidRPr="008F5FE5">
        <w:t>III</w:t>
      </w:r>
      <w:r>
        <w:t>.</w:t>
      </w:r>
    </w:p>
  </w:footnote>
  <w:footnote w:id="91">
    <w:p w:rsidR="008518FD" w:rsidRPr="008F5FE5" w:rsidRDefault="008518FD" w:rsidP="007F5C54">
      <w:pPr>
        <w:pStyle w:val="FootnoteText"/>
      </w:pPr>
      <w:r w:rsidRPr="00DE2621">
        <w:rPr>
          <w:lang w:val="fr-CH"/>
        </w:rPr>
        <w:tab/>
      </w:r>
      <w:r>
        <w:rPr>
          <w:rStyle w:val="FootnoteReference"/>
        </w:rPr>
        <w:footnoteRef/>
      </w:r>
      <w:r w:rsidRPr="00360FE6">
        <w:rPr>
          <w:lang w:val="en-US"/>
        </w:rPr>
        <w:tab/>
      </w:r>
      <w:r>
        <w:t xml:space="preserve">General Assembly resolution </w:t>
      </w:r>
      <w:r w:rsidRPr="00C1054B">
        <w:t>3314(XXIX)</w:t>
      </w:r>
      <w:r>
        <w:t>.</w:t>
      </w:r>
    </w:p>
  </w:footnote>
  <w:footnote w:id="92">
    <w:p w:rsidR="008518FD" w:rsidRPr="008F5FE5" w:rsidRDefault="008518FD" w:rsidP="007F5C54">
      <w:pPr>
        <w:pStyle w:val="FootnoteText"/>
      </w:pPr>
      <w:r w:rsidRPr="00DE2621">
        <w:rPr>
          <w:lang w:val="fr-CH"/>
        </w:rPr>
        <w:tab/>
      </w:r>
      <w:r>
        <w:rPr>
          <w:rStyle w:val="FootnoteReference"/>
        </w:rPr>
        <w:footnoteRef/>
      </w:r>
      <w:r w:rsidRPr="00360FE6">
        <w:rPr>
          <w:lang w:val="en-US"/>
        </w:rPr>
        <w:tab/>
      </w:r>
      <w:r w:rsidRPr="008F5FE5">
        <w:t xml:space="preserve">Draft </w:t>
      </w:r>
      <w:r>
        <w:t>A</w:t>
      </w:r>
      <w:r w:rsidRPr="008F5FE5">
        <w:t xml:space="preserve">rticles, </w:t>
      </w:r>
      <w:r>
        <w:t>c</w:t>
      </w:r>
      <w:r w:rsidRPr="008F5FE5">
        <w:t>hap</w:t>
      </w:r>
      <w:r w:rsidRPr="00DE2621">
        <w:rPr>
          <w:lang w:val="fr-CH"/>
        </w:rPr>
        <w:t>.</w:t>
      </w:r>
      <w:r>
        <w:rPr>
          <w:lang w:val="fr-CH"/>
        </w:rPr>
        <w:t> </w:t>
      </w:r>
      <w:r w:rsidRPr="008F5FE5">
        <w:t>III</w:t>
      </w:r>
      <w:r>
        <w:t>, commentary</w:t>
      </w:r>
      <w:r w:rsidRPr="008F5FE5">
        <w:t>.</w:t>
      </w:r>
    </w:p>
  </w:footnote>
  <w:footnote w:id="93">
    <w:p w:rsidR="008518FD" w:rsidRPr="008F5FE5" w:rsidRDefault="008518FD" w:rsidP="007F5C54">
      <w:pPr>
        <w:pStyle w:val="FootnoteText"/>
      </w:pPr>
      <w:r w:rsidRPr="00360FE6">
        <w:rPr>
          <w:lang w:val="en-US"/>
        </w:rPr>
        <w:tab/>
      </w:r>
      <w:r>
        <w:rPr>
          <w:rStyle w:val="FootnoteReference"/>
        </w:rPr>
        <w:footnoteRef/>
      </w:r>
      <w:r w:rsidRPr="00360FE6">
        <w:rPr>
          <w:lang w:val="en-US"/>
        </w:rPr>
        <w:tab/>
      </w:r>
      <w:r w:rsidRPr="008F5FE5">
        <w:t>Ibid</w:t>
      </w:r>
      <w:r>
        <w:t>.</w:t>
      </w:r>
      <w:r w:rsidRPr="008F5FE5">
        <w:t>, art</w:t>
      </w:r>
      <w:r>
        <w:t>. </w:t>
      </w:r>
      <w:r w:rsidRPr="008F5FE5">
        <w:t>41</w:t>
      </w:r>
      <w:r>
        <w:t>.</w:t>
      </w:r>
    </w:p>
  </w:footnote>
  <w:footnote w:id="94">
    <w:p w:rsidR="008518FD" w:rsidRPr="008F5FE5" w:rsidRDefault="008518FD" w:rsidP="007F5C54">
      <w:pPr>
        <w:pStyle w:val="FootnoteText"/>
      </w:pPr>
      <w:r w:rsidRPr="00360FE6">
        <w:rPr>
          <w:lang w:val="en-US"/>
        </w:rPr>
        <w:tab/>
      </w:r>
      <w:r>
        <w:rPr>
          <w:rStyle w:val="FootnoteReference"/>
        </w:rPr>
        <w:footnoteRef/>
      </w:r>
      <w:r w:rsidRPr="00360FE6">
        <w:rPr>
          <w:lang w:val="en-US"/>
        </w:rPr>
        <w:tab/>
      </w:r>
      <w:r>
        <w:t xml:space="preserve">See </w:t>
      </w:r>
      <w:r w:rsidRPr="00360FE6">
        <w:t>www.icc-cpi.int/NR/rdonlyres/74EEE201-0FED-4481-95D4-C8071087102C/</w:t>
      </w:r>
      <w:r w:rsidRPr="00E855C1">
        <w:t>279777/</w:t>
      </w:r>
      <w:r>
        <w:t xml:space="preserve"> </w:t>
      </w:r>
      <w:r w:rsidRPr="00E855C1">
        <w:t>20090122PalestinianDeclaration2.pdf</w:t>
      </w:r>
      <w:r>
        <w:t>.</w:t>
      </w:r>
    </w:p>
  </w:footnote>
  <w:footnote w:id="95">
    <w:p w:rsidR="008518FD" w:rsidRPr="00411345" w:rsidRDefault="008518FD" w:rsidP="00B0669F">
      <w:pPr>
        <w:pStyle w:val="FootnoteText"/>
        <w:rPr>
          <w:lang w:val="en-US"/>
        </w:rPr>
      </w:pPr>
      <w:r w:rsidRPr="00411345">
        <w:rPr>
          <w:lang w:val="en-US"/>
        </w:rPr>
        <w:tab/>
      </w:r>
      <w:r>
        <w:rPr>
          <w:rStyle w:val="FootnoteReference"/>
        </w:rPr>
        <w:footnoteRef/>
      </w:r>
      <w:r w:rsidRPr="00411345">
        <w:rPr>
          <w:lang w:val="en-US"/>
        </w:rPr>
        <w:tab/>
      </w:r>
      <w:r w:rsidRPr="00DF5443">
        <w:t>See www.icc-cpi.int/NR/rdonlyres/C6162BBF-FEB9-4FAF-AFA9-836106D2694A/284387/</w:t>
      </w:r>
      <w:r w:rsidRPr="00D125AD">
        <w:t>SituationinPalestine030412ENG.pdf</w:t>
      </w:r>
      <w:r>
        <w:t>.</w:t>
      </w:r>
    </w:p>
  </w:footnote>
  <w:footnote w:id="96">
    <w:p w:rsidR="008518FD" w:rsidRPr="00360FE6" w:rsidRDefault="008518FD" w:rsidP="002367D5">
      <w:pPr>
        <w:pStyle w:val="FootnoteText"/>
        <w:rPr>
          <w:lang w:val="en-US"/>
        </w:rPr>
      </w:pPr>
      <w:r w:rsidRPr="00360FE6">
        <w:rPr>
          <w:lang w:val="en-US"/>
        </w:rPr>
        <w:tab/>
      </w:r>
      <w:r>
        <w:rPr>
          <w:rStyle w:val="FootnoteReference"/>
        </w:rPr>
        <w:footnoteRef/>
      </w:r>
      <w:r w:rsidRPr="00360FE6">
        <w:rPr>
          <w:lang w:val="en-US"/>
        </w:rPr>
        <w:tab/>
        <w:t>See www.icc-cpi.int/en_menus/icc/press%20and%20media/press%20releases/Documents/OTP%20</w:t>
      </w:r>
      <w:r>
        <w:rPr>
          <w:lang w:val="en-US"/>
        </w:rPr>
        <w:t xml:space="preserve"> </w:t>
      </w:r>
      <w:r w:rsidRPr="00360FE6">
        <w:rPr>
          <w:lang w:val="en-US"/>
        </w:rPr>
        <w:t>Preliminary%20Examinations/OTP%20-%20Report%20%20Preliminary%20Examination%20</w:t>
      </w:r>
      <w:r>
        <w:rPr>
          <w:lang w:val="en-US"/>
        </w:rPr>
        <w:t xml:space="preserve"> </w:t>
      </w:r>
      <w:r w:rsidRPr="00360FE6">
        <w:rPr>
          <w:lang w:val="en-US"/>
        </w:rPr>
        <w:t>Activities%202013.PDF</w:t>
      </w:r>
      <w:r>
        <w:rPr>
          <w:lang w:val="en-US"/>
        </w:rPr>
        <w:t>.</w:t>
      </w:r>
    </w:p>
  </w:footnote>
  <w:footnote w:id="97">
    <w:p w:rsidR="008518FD" w:rsidRPr="00360FE6" w:rsidRDefault="008518FD" w:rsidP="007F5C54">
      <w:pPr>
        <w:pStyle w:val="FootnoteText"/>
        <w:rPr>
          <w:lang w:val="en-US"/>
        </w:rPr>
      </w:pPr>
      <w:r w:rsidRPr="00360FE6">
        <w:rPr>
          <w:lang w:val="en-US"/>
        </w:rPr>
        <w:tab/>
      </w:r>
      <w:r>
        <w:rPr>
          <w:rStyle w:val="FootnoteReference"/>
        </w:rPr>
        <w:footnoteRef/>
      </w:r>
      <w:r w:rsidRPr="00360FE6">
        <w:rPr>
          <w:lang w:val="en-US"/>
        </w:rPr>
        <w:tab/>
      </w:r>
      <w:hyperlink r:id="rId16" w:history="1">
        <w:r>
          <w:rPr>
            <w:rStyle w:val="Hyperlink"/>
            <w:lang w:val="en-US"/>
          </w:rPr>
          <w:t xml:space="preserve">See </w:t>
        </w:r>
        <w:r w:rsidRPr="00360FE6">
          <w:rPr>
            <w:rStyle w:val="Hyperlink"/>
            <w:lang w:val="en-US"/>
          </w:rPr>
          <w:t>www.icc-cpi.int/en_menus/icc/structure%20of%20the%20court/office%20of%20the%</w:t>
        </w:r>
      </w:hyperlink>
      <w:r w:rsidRPr="00360FE6">
        <w:rPr>
          <w:lang w:val="en-US"/>
        </w:rPr>
        <w:t>20</w:t>
      </w:r>
      <w:r>
        <w:rPr>
          <w:lang w:val="en-US"/>
        </w:rPr>
        <w:t xml:space="preserve"> </w:t>
      </w:r>
      <w:r w:rsidRPr="00360FE6">
        <w:rPr>
          <w:lang w:val="en-US"/>
        </w:rPr>
        <w:t>prosecutor/comm%20and%20ref/pe-cdnp/palestine/Pages/palestine.aspx</w:t>
      </w:r>
      <w:r>
        <w:rPr>
          <w:lang w:val="en-US"/>
        </w:rPr>
        <w:t>.</w:t>
      </w:r>
    </w:p>
  </w:footnote>
  <w:footnote w:id="98">
    <w:p w:rsidR="008518FD" w:rsidRPr="00A825D6" w:rsidRDefault="008518FD" w:rsidP="00DE2621">
      <w:pPr>
        <w:pStyle w:val="FootnoteText"/>
        <w:rPr>
          <w:lang w:val="en-GB"/>
        </w:rPr>
      </w:pPr>
      <w:r w:rsidRPr="00360FE6">
        <w:rPr>
          <w:lang w:val="en-US"/>
        </w:rPr>
        <w:tab/>
      </w:r>
      <w:r>
        <w:rPr>
          <w:rStyle w:val="FootnoteReference"/>
        </w:rPr>
        <w:footnoteRef/>
      </w:r>
      <w:r w:rsidRPr="00360FE6">
        <w:rPr>
          <w:lang w:val="en-US"/>
        </w:rPr>
        <w:tab/>
        <w:t>In</w:t>
      </w:r>
      <w:r>
        <w:t xml:space="preserve"> 2013, the Special Rapporteur joined </w:t>
      </w:r>
      <w:r>
        <w:rPr>
          <w:lang w:val="en-GB"/>
        </w:rPr>
        <w:t>71</w:t>
      </w:r>
      <w:r>
        <w:t xml:space="preserve"> other independent experts in an appeal to Member States to cooperate with their mandates (</w:t>
      </w:r>
      <w:r w:rsidRPr="00360FE6">
        <w:t>www.ohchr.org/EN/NewsEvents/Pages/DisplayNews.aspx</w:t>
      </w:r>
      <w:r w:rsidRPr="00FF4380">
        <w:t>?</w:t>
      </w:r>
      <w:r>
        <w:t xml:space="preserve"> </w:t>
      </w:r>
      <w:r w:rsidRPr="00FF4380">
        <w:t>NewsID=14083&amp;LangID=E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8FD" w:rsidRPr="00326D0B" w:rsidRDefault="008518FD">
    <w:pPr>
      <w:pStyle w:val="Header"/>
    </w:pPr>
    <w:r>
      <w:t>A/HRC/25/67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8FD" w:rsidRPr="00326D0B" w:rsidRDefault="008518FD" w:rsidP="00C05D53">
    <w:pPr>
      <w:pStyle w:val="Header"/>
      <w:jc w:val="right"/>
    </w:pPr>
    <w:r>
      <w:t>A/HRC/25/67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9C1CEC"/>
    <w:multiLevelType w:val="hybridMultilevel"/>
    <w:tmpl w:val="E7FAE02C"/>
    <w:lvl w:ilvl="0" w:tplc="229AB1F8">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3433440"/>
    <w:multiLevelType w:val="hybridMultilevel"/>
    <w:tmpl w:val="51A2247E"/>
    <w:lvl w:ilvl="0" w:tplc="DCF076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695C94"/>
    <w:multiLevelType w:val="hybridMultilevel"/>
    <w:tmpl w:val="39E6B758"/>
    <w:lvl w:ilvl="0" w:tplc="342E0E76">
      <w:start w:val="1"/>
      <w:numFmt w:val="decimal"/>
      <w:lvlText w:val="%1."/>
      <w:lvlJc w:val="left"/>
      <w:pPr>
        <w:ind w:left="1495" w:hanging="360"/>
      </w:pPr>
      <w:rPr>
        <w:rFonts w:hint="default"/>
        <w:b w:val="0"/>
        <w:i w:val="0"/>
        <w:sz w:val="20"/>
        <w:szCs w:val="20"/>
        <w:vertAlign w:val="baseli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79794B"/>
    <w:multiLevelType w:val="hybridMultilevel"/>
    <w:tmpl w:val="E6920352"/>
    <w:lvl w:ilvl="0" w:tplc="C2F61138">
      <w:start w:val="1"/>
      <w:numFmt w:val="upp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15:restartNumberingAfterBreak="0">
    <w:nsid w:val="4A4A46D0"/>
    <w:multiLevelType w:val="hybridMultilevel"/>
    <w:tmpl w:val="BFA84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30333D"/>
    <w:multiLevelType w:val="hybridMultilevel"/>
    <w:tmpl w:val="2466C6C6"/>
    <w:lvl w:ilvl="0" w:tplc="221C1216">
      <w:start w:val="1"/>
      <w:numFmt w:val="upperRoman"/>
      <w:lvlText w:val="%1."/>
      <w:lvlJc w:val="left"/>
      <w:pPr>
        <w:ind w:left="1288" w:hanging="72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1" w15:restartNumberingAfterBreak="0">
    <w:nsid w:val="52F42DEF"/>
    <w:multiLevelType w:val="hybridMultilevel"/>
    <w:tmpl w:val="ED72EC20"/>
    <w:lvl w:ilvl="0" w:tplc="85406BB8">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830147"/>
    <w:multiLevelType w:val="hybridMultilevel"/>
    <w:tmpl w:val="D7B8653C"/>
    <w:lvl w:ilvl="0" w:tplc="3C8E7B26">
      <w:start w:val="1"/>
      <w:numFmt w:val="upperRoman"/>
      <w:lvlText w:val="%1."/>
      <w:lvlJc w:val="left"/>
      <w:pPr>
        <w:ind w:left="1571" w:hanging="720"/>
      </w:pPr>
      <w:rPr>
        <w:rFonts w:ascii="Times New Roman" w:eastAsia="Times New Roman" w:hAnsi="Times New Roman" w:cs="Times New Roman"/>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EE06357"/>
    <w:multiLevelType w:val="hybridMultilevel"/>
    <w:tmpl w:val="74208C04"/>
    <w:lvl w:ilvl="0" w:tplc="F62814D4">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7"/>
  </w:num>
  <w:num w:numId="2">
    <w:abstractNumId w:val="6"/>
  </w:num>
  <w:num w:numId="3">
    <w:abstractNumId w:val="14"/>
  </w:num>
  <w:num w:numId="4">
    <w:abstractNumId w:val="3"/>
  </w:num>
  <w:num w:numId="5">
    <w:abstractNumId w:val="0"/>
  </w:num>
  <w:num w:numId="6">
    <w:abstractNumId w:val="2"/>
  </w:num>
  <w:num w:numId="7">
    <w:abstractNumId w:val="12"/>
  </w:num>
  <w:num w:numId="8">
    <w:abstractNumId w:val="15"/>
  </w:num>
  <w:num w:numId="9">
    <w:abstractNumId w:val="4"/>
  </w:num>
  <w:num w:numId="10">
    <w:abstractNumId w:val="5"/>
  </w:num>
  <w:num w:numId="11">
    <w:abstractNumId w:val="13"/>
  </w:num>
  <w:num w:numId="12">
    <w:abstractNumId w:val="8"/>
  </w:num>
  <w:num w:numId="13">
    <w:abstractNumId w:val="10"/>
  </w:num>
  <w:num w:numId="14">
    <w:abstractNumId w:val="11"/>
  </w:num>
  <w:num w:numId="15">
    <w:abstractNumId w:val="9"/>
  </w:num>
  <w:num w:numId="1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6D0B"/>
    <w:rsid w:val="0000659D"/>
    <w:rsid w:val="00014B3B"/>
    <w:rsid w:val="00025803"/>
    <w:rsid w:val="00050C36"/>
    <w:rsid w:val="0005293E"/>
    <w:rsid w:val="00063386"/>
    <w:rsid w:val="00074B99"/>
    <w:rsid w:val="00074E2D"/>
    <w:rsid w:val="00096007"/>
    <w:rsid w:val="00096528"/>
    <w:rsid w:val="00097289"/>
    <w:rsid w:val="0009731B"/>
    <w:rsid w:val="000B2F7D"/>
    <w:rsid w:val="000B3CD5"/>
    <w:rsid w:val="000B41A7"/>
    <w:rsid w:val="000C0FDA"/>
    <w:rsid w:val="000C3AD0"/>
    <w:rsid w:val="000D3098"/>
    <w:rsid w:val="000E1BF1"/>
    <w:rsid w:val="000F4CCF"/>
    <w:rsid w:val="000F57EC"/>
    <w:rsid w:val="000F5833"/>
    <w:rsid w:val="00100524"/>
    <w:rsid w:val="00102662"/>
    <w:rsid w:val="00104C70"/>
    <w:rsid w:val="0012756A"/>
    <w:rsid w:val="001317D6"/>
    <w:rsid w:val="00133289"/>
    <w:rsid w:val="001443FE"/>
    <w:rsid w:val="00151B49"/>
    <w:rsid w:val="001576EA"/>
    <w:rsid w:val="001617D3"/>
    <w:rsid w:val="00162168"/>
    <w:rsid w:val="0016712C"/>
    <w:rsid w:val="001758D6"/>
    <w:rsid w:val="001A752C"/>
    <w:rsid w:val="001B5512"/>
    <w:rsid w:val="001B7F38"/>
    <w:rsid w:val="001C257B"/>
    <w:rsid w:val="001C3C5D"/>
    <w:rsid w:val="001C5104"/>
    <w:rsid w:val="001C5360"/>
    <w:rsid w:val="001F1862"/>
    <w:rsid w:val="001F5515"/>
    <w:rsid w:val="00202264"/>
    <w:rsid w:val="00230847"/>
    <w:rsid w:val="002317BE"/>
    <w:rsid w:val="00233AB6"/>
    <w:rsid w:val="00233DE3"/>
    <w:rsid w:val="002367D5"/>
    <w:rsid w:val="002370DF"/>
    <w:rsid w:val="0024492C"/>
    <w:rsid w:val="0026129D"/>
    <w:rsid w:val="00265E5F"/>
    <w:rsid w:val="0027105A"/>
    <w:rsid w:val="002826B1"/>
    <w:rsid w:val="002A089B"/>
    <w:rsid w:val="002A3CB2"/>
    <w:rsid w:val="002A72B5"/>
    <w:rsid w:val="002A7E1B"/>
    <w:rsid w:val="002B255B"/>
    <w:rsid w:val="002B55C5"/>
    <w:rsid w:val="002B5A11"/>
    <w:rsid w:val="002C1270"/>
    <w:rsid w:val="002C6BF1"/>
    <w:rsid w:val="002D24B7"/>
    <w:rsid w:val="002E4618"/>
    <w:rsid w:val="002F47F1"/>
    <w:rsid w:val="002F6448"/>
    <w:rsid w:val="002F72B0"/>
    <w:rsid w:val="00304F0C"/>
    <w:rsid w:val="00306E0D"/>
    <w:rsid w:val="00311DED"/>
    <w:rsid w:val="00324A13"/>
    <w:rsid w:val="003309F9"/>
    <w:rsid w:val="0033321E"/>
    <w:rsid w:val="003347AF"/>
    <w:rsid w:val="00342ADA"/>
    <w:rsid w:val="00345DC7"/>
    <w:rsid w:val="003510D4"/>
    <w:rsid w:val="00360FE6"/>
    <w:rsid w:val="003652DC"/>
    <w:rsid w:val="00367A4A"/>
    <w:rsid w:val="00367B13"/>
    <w:rsid w:val="00370E88"/>
    <w:rsid w:val="003725A1"/>
    <w:rsid w:val="00372FEB"/>
    <w:rsid w:val="00383DA9"/>
    <w:rsid w:val="00386992"/>
    <w:rsid w:val="003916B3"/>
    <w:rsid w:val="003A0ABC"/>
    <w:rsid w:val="003C160D"/>
    <w:rsid w:val="003D54FD"/>
    <w:rsid w:val="003E0029"/>
    <w:rsid w:val="003E0688"/>
    <w:rsid w:val="003F0397"/>
    <w:rsid w:val="003F0BE0"/>
    <w:rsid w:val="003F55FB"/>
    <w:rsid w:val="00404897"/>
    <w:rsid w:val="0040494C"/>
    <w:rsid w:val="00411345"/>
    <w:rsid w:val="0042185E"/>
    <w:rsid w:val="004241E2"/>
    <w:rsid w:val="00427680"/>
    <w:rsid w:val="00443E92"/>
    <w:rsid w:val="004502ED"/>
    <w:rsid w:val="004857E3"/>
    <w:rsid w:val="00494474"/>
    <w:rsid w:val="004A7CD5"/>
    <w:rsid w:val="004B2E1E"/>
    <w:rsid w:val="004B7796"/>
    <w:rsid w:val="004C3ACD"/>
    <w:rsid w:val="004C4352"/>
    <w:rsid w:val="004D7C42"/>
    <w:rsid w:val="004E18A4"/>
    <w:rsid w:val="004F721B"/>
    <w:rsid w:val="00511456"/>
    <w:rsid w:val="0053264F"/>
    <w:rsid w:val="00533214"/>
    <w:rsid w:val="005411D3"/>
    <w:rsid w:val="00575889"/>
    <w:rsid w:val="005828F7"/>
    <w:rsid w:val="005926E6"/>
    <w:rsid w:val="00597802"/>
    <w:rsid w:val="005A14F8"/>
    <w:rsid w:val="005A4DB3"/>
    <w:rsid w:val="005A741E"/>
    <w:rsid w:val="005B12CA"/>
    <w:rsid w:val="005B4C97"/>
    <w:rsid w:val="005B6B63"/>
    <w:rsid w:val="005D603C"/>
    <w:rsid w:val="005E5CAB"/>
    <w:rsid w:val="005E669F"/>
    <w:rsid w:val="005F66FF"/>
    <w:rsid w:val="00600183"/>
    <w:rsid w:val="00603A2B"/>
    <w:rsid w:val="00610662"/>
    <w:rsid w:val="006211BA"/>
    <w:rsid w:val="006268A3"/>
    <w:rsid w:val="00636D53"/>
    <w:rsid w:val="0064218B"/>
    <w:rsid w:val="00646033"/>
    <w:rsid w:val="006638F3"/>
    <w:rsid w:val="00693607"/>
    <w:rsid w:val="006947CC"/>
    <w:rsid w:val="006A0C2E"/>
    <w:rsid w:val="006C2C1C"/>
    <w:rsid w:val="006C3D23"/>
    <w:rsid w:val="006C5A37"/>
    <w:rsid w:val="006D7FA2"/>
    <w:rsid w:val="006F2AB2"/>
    <w:rsid w:val="006F385C"/>
    <w:rsid w:val="006F597C"/>
    <w:rsid w:val="007111FA"/>
    <w:rsid w:val="00712B57"/>
    <w:rsid w:val="007134C9"/>
    <w:rsid w:val="00723F22"/>
    <w:rsid w:val="007301D8"/>
    <w:rsid w:val="00731562"/>
    <w:rsid w:val="00732F9C"/>
    <w:rsid w:val="007349A6"/>
    <w:rsid w:val="00736150"/>
    <w:rsid w:val="0075283C"/>
    <w:rsid w:val="00753E39"/>
    <w:rsid w:val="00770BB7"/>
    <w:rsid w:val="0077631F"/>
    <w:rsid w:val="00776413"/>
    <w:rsid w:val="0078009E"/>
    <w:rsid w:val="00782897"/>
    <w:rsid w:val="00797784"/>
    <w:rsid w:val="007A4D51"/>
    <w:rsid w:val="007A5EF3"/>
    <w:rsid w:val="007C16DF"/>
    <w:rsid w:val="007D3E62"/>
    <w:rsid w:val="007E51F4"/>
    <w:rsid w:val="007E626D"/>
    <w:rsid w:val="007E776B"/>
    <w:rsid w:val="007F5C54"/>
    <w:rsid w:val="00802AA7"/>
    <w:rsid w:val="00805F88"/>
    <w:rsid w:val="00813C54"/>
    <w:rsid w:val="00815B41"/>
    <w:rsid w:val="00816CBD"/>
    <w:rsid w:val="008213AC"/>
    <w:rsid w:val="008322BC"/>
    <w:rsid w:val="008356F3"/>
    <w:rsid w:val="0084693E"/>
    <w:rsid w:val="008512FD"/>
    <w:rsid w:val="008518FD"/>
    <w:rsid w:val="008743D7"/>
    <w:rsid w:val="00890C3C"/>
    <w:rsid w:val="008975FA"/>
    <w:rsid w:val="008A7986"/>
    <w:rsid w:val="008B1296"/>
    <w:rsid w:val="008C02E0"/>
    <w:rsid w:val="008C530B"/>
    <w:rsid w:val="008D38DB"/>
    <w:rsid w:val="008D787C"/>
    <w:rsid w:val="008E1D7F"/>
    <w:rsid w:val="008E254B"/>
    <w:rsid w:val="008F44D9"/>
    <w:rsid w:val="008F4BC4"/>
    <w:rsid w:val="008F4E44"/>
    <w:rsid w:val="008F67E2"/>
    <w:rsid w:val="00900D65"/>
    <w:rsid w:val="00915569"/>
    <w:rsid w:val="00917EAE"/>
    <w:rsid w:val="009211C2"/>
    <w:rsid w:val="00927F35"/>
    <w:rsid w:val="00931062"/>
    <w:rsid w:val="00937204"/>
    <w:rsid w:val="00941D2D"/>
    <w:rsid w:val="0095132C"/>
    <w:rsid w:val="00965408"/>
    <w:rsid w:val="0097497A"/>
    <w:rsid w:val="009846BF"/>
    <w:rsid w:val="009901E0"/>
    <w:rsid w:val="009A42E6"/>
    <w:rsid w:val="009A54D1"/>
    <w:rsid w:val="009B7F67"/>
    <w:rsid w:val="009D3FB3"/>
    <w:rsid w:val="009F1467"/>
    <w:rsid w:val="00A11479"/>
    <w:rsid w:val="00A145B6"/>
    <w:rsid w:val="00A14993"/>
    <w:rsid w:val="00A177E7"/>
    <w:rsid w:val="00A17F93"/>
    <w:rsid w:val="00A20493"/>
    <w:rsid w:val="00A304C7"/>
    <w:rsid w:val="00A565DE"/>
    <w:rsid w:val="00A60159"/>
    <w:rsid w:val="00A63354"/>
    <w:rsid w:val="00A66F7C"/>
    <w:rsid w:val="00A77935"/>
    <w:rsid w:val="00A80869"/>
    <w:rsid w:val="00A87025"/>
    <w:rsid w:val="00A87E49"/>
    <w:rsid w:val="00A935C9"/>
    <w:rsid w:val="00AA06C5"/>
    <w:rsid w:val="00AB4F82"/>
    <w:rsid w:val="00AC37B6"/>
    <w:rsid w:val="00AD7CEC"/>
    <w:rsid w:val="00AF00CF"/>
    <w:rsid w:val="00AF56AC"/>
    <w:rsid w:val="00AF672A"/>
    <w:rsid w:val="00B0669F"/>
    <w:rsid w:val="00B10167"/>
    <w:rsid w:val="00B209FA"/>
    <w:rsid w:val="00B2564E"/>
    <w:rsid w:val="00B305C7"/>
    <w:rsid w:val="00B36667"/>
    <w:rsid w:val="00B422F5"/>
    <w:rsid w:val="00B577E3"/>
    <w:rsid w:val="00B81541"/>
    <w:rsid w:val="00B81A43"/>
    <w:rsid w:val="00B835E3"/>
    <w:rsid w:val="00B8424B"/>
    <w:rsid w:val="00B85443"/>
    <w:rsid w:val="00BA2CED"/>
    <w:rsid w:val="00BB5378"/>
    <w:rsid w:val="00BB5817"/>
    <w:rsid w:val="00BB5C01"/>
    <w:rsid w:val="00BB7189"/>
    <w:rsid w:val="00BD034E"/>
    <w:rsid w:val="00BD0512"/>
    <w:rsid w:val="00BD17CF"/>
    <w:rsid w:val="00BD7F5E"/>
    <w:rsid w:val="00BE358C"/>
    <w:rsid w:val="00BF1F94"/>
    <w:rsid w:val="00BF4B48"/>
    <w:rsid w:val="00BF6EC6"/>
    <w:rsid w:val="00C0486B"/>
    <w:rsid w:val="00C05D53"/>
    <w:rsid w:val="00C12189"/>
    <w:rsid w:val="00C15F87"/>
    <w:rsid w:val="00C20365"/>
    <w:rsid w:val="00C21107"/>
    <w:rsid w:val="00C21826"/>
    <w:rsid w:val="00C31CEB"/>
    <w:rsid w:val="00C36E13"/>
    <w:rsid w:val="00C50425"/>
    <w:rsid w:val="00C52794"/>
    <w:rsid w:val="00C638D6"/>
    <w:rsid w:val="00C8570D"/>
    <w:rsid w:val="00C8682C"/>
    <w:rsid w:val="00C9117D"/>
    <w:rsid w:val="00C957C1"/>
    <w:rsid w:val="00CB27DE"/>
    <w:rsid w:val="00CB55EB"/>
    <w:rsid w:val="00CB5977"/>
    <w:rsid w:val="00CC1D15"/>
    <w:rsid w:val="00CC45B8"/>
    <w:rsid w:val="00CD250C"/>
    <w:rsid w:val="00CE0C88"/>
    <w:rsid w:val="00CE55CE"/>
    <w:rsid w:val="00CE5FB6"/>
    <w:rsid w:val="00D00A23"/>
    <w:rsid w:val="00D00D2E"/>
    <w:rsid w:val="00D039F7"/>
    <w:rsid w:val="00D066FD"/>
    <w:rsid w:val="00D15CFF"/>
    <w:rsid w:val="00D256D8"/>
    <w:rsid w:val="00D26CA6"/>
    <w:rsid w:val="00D415C4"/>
    <w:rsid w:val="00D44A7E"/>
    <w:rsid w:val="00D46DE6"/>
    <w:rsid w:val="00D56C3C"/>
    <w:rsid w:val="00D80AB3"/>
    <w:rsid w:val="00D9302F"/>
    <w:rsid w:val="00DA1B21"/>
    <w:rsid w:val="00DA2EBB"/>
    <w:rsid w:val="00DB21E3"/>
    <w:rsid w:val="00DB4398"/>
    <w:rsid w:val="00DC62DF"/>
    <w:rsid w:val="00DE2621"/>
    <w:rsid w:val="00DE4BE0"/>
    <w:rsid w:val="00DE698C"/>
    <w:rsid w:val="00DF5443"/>
    <w:rsid w:val="00DF67BA"/>
    <w:rsid w:val="00E121C4"/>
    <w:rsid w:val="00E14C41"/>
    <w:rsid w:val="00E31588"/>
    <w:rsid w:val="00E413C1"/>
    <w:rsid w:val="00E54F13"/>
    <w:rsid w:val="00E62757"/>
    <w:rsid w:val="00E63926"/>
    <w:rsid w:val="00E856BE"/>
    <w:rsid w:val="00EA23E4"/>
    <w:rsid w:val="00EA4185"/>
    <w:rsid w:val="00EA4445"/>
    <w:rsid w:val="00EB39AD"/>
    <w:rsid w:val="00EB5C13"/>
    <w:rsid w:val="00ED0607"/>
    <w:rsid w:val="00ED6160"/>
    <w:rsid w:val="00EF1203"/>
    <w:rsid w:val="00EF7E7E"/>
    <w:rsid w:val="00F01976"/>
    <w:rsid w:val="00F03A26"/>
    <w:rsid w:val="00F12163"/>
    <w:rsid w:val="00F16C26"/>
    <w:rsid w:val="00F267DD"/>
    <w:rsid w:val="00F40FC3"/>
    <w:rsid w:val="00F552FE"/>
    <w:rsid w:val="00F60D12"/>
    <w:rsid w:val="00F623EC"/>
    <w:rsid w:val="00F624E9"/>
    <w:rsid w:val="00F7322D"/>
    <w:rsid w:val="00F811BC"/>
    <w:rsid w:val="00F81994"/>
    <w:rsid w:val="00F87082"/>
    <w:rsid w:val="00F95ECE"/>
    <w:rsid w:val="00FA2FA2"/>
    <w:rsid w:val="00FB2E20"/>
    <w:rsid w:val="00FC0346"/>
    <w:rsid w:val="00FC7386"/>
    <w:rsid w:val="00FD7A72"/>
    <w:rsid w:val="00FE5C3F"/>
    <w:rsid w:val="00FE660A"/>
    <w:rsid w:val="00FE73A9"/>
    <w:rsid w:val="00FF5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6"/>
    <o:shapelayout v:ext="edit">
      <o:idmap v:ext="edit" data="1"/>
    </o:shapelayout>
  </w:shapeDefaults>
  <w:decimalSymbol w:val="."/>
  <w:listSeparator w:val=","/>
  <w15:chartTrackingRefBased/>
  <w15:docId w15:val="{1CB5C412-A860-4D72-A949-5D70A2DA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val="en-GB"/>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a Footnote Reference,FZ,Appel note de bas de page,Footnotes refss,Footnote number"/>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Sharp - Footnote Text,Footnote Text - Sharp Char Char,Footnote Text - Sharp Char,single space,footnote text,Char, Char Char Char Char Char Char, Char Char Char Char,Footnote Text Char1 Char, Char Char2, Char Char Char Char1,fn,Char Cha"/>
    <w:basedOn w:val="Normal"/>
    <w:link w:val="FootnoteTextChar"/>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lblnewstitle">
    <w:name w:val="lblnewstitle"/>
    <w:rsid w:val="006F597C"/>
  </w:style>
  <w:style w:type="character" w:customStyle="1" w:styleId="FootnoteTextChar">
    <w:name w:val="Footnote Text Char"/>
    <w:aliases w:val="5_G Char,Sharp - Footnote Text Char,Footnote Text - Sharp Char Char Char,Footnote Text - Sharp Char Char1,single space Char,footnote text Char,Char Char, Char Char Char Char Char Char Char, Char Char Char Char Char, Char Char2 Char"/>
    <w:link w:val="FootnoteText"/>
    <w:rsid w:val="006205CD"/>
    <w:rPr>
      <w:sz w:val="18"/>
      <w:lang w:eastAsia="en-US"/>
    </w:rPr>
  </w:style>
  <w:style w:type="character" w:customStyle="1" w:styleId="text">
    <w:name w:val="text"/>
    <w:rsid w:val="006205CD"/>
  </w:style>
  <w:style w:type="character" w:styleId="CommentReference">
    <w:name w:val="annotation reference"/>
    <w:rsid w:val="005A792E"/>
    <w:rPr>
      <w:sz w:val="16"/>
      <w:szCs w:val="16"/>
    </w:rPr>
  </w:style>
  <w:style w:type="paragraph" w:styleId="CommentText">
    <w:name w:val="annotation text"/>
    <w:basedOn w:val="Normal"/>
    <w:link w:val="CommentTextChar"/>
    <w:rsid w:val="005A792E"/>
    <w:rPr>
      <w:rFonts w:eastAsia="Calibri"/>
      <w:lang w:val="x-none"/>
    </w:rPr>
  </w:style>
  <w:style w:type="character" w:customStyle="1" w:styleId="CommentTextChar">
    <w:name w:val="Comment Text Char"/>
    <w:link w:val="CommentText"/>
    <w:rsid w:val="005A792E"/>
    <w:rPr>
      <w:rFonts w:eastAsia="Calibri"/>
      <w:lang w:eastAsia="en-US"/>
    </w:rPr>
  </w:style>
  <w:style w:type="paragraph" w:styleId="BalloonText">
    <w:name w:val="Balloon Text"/>
    <w:basedOn w:val="Normal"/>
    <w:link w:val="BalloonTextChar"/>
    <w:rsid w:val="005A792E"/>
    <w:pPr>
      <w:spacing w:line="240" w:lineRule="auto"/>
    </w:pPr>
    <w:rPr>
      <w:rFonts w:ascii="Tahoma" w:hAnsi="Tahoma"/>
      <w:sz w:val="16"/>
      <w:szCs w:val="16"/>
      <w:lang w:val="x-none"/>
    </w:rPr>
  </w:style>
  <w:style w:type="character" w:customStyle="1" w:styleId="BalloonTextChar">
    <w:name w:val="Balloon Text Char"/>
    <w:link w:val="BalloonText"/>
    <w:rsid w:val="005A792E"/>
    <w:rPr>
      <w:rFonts w:ascii="Tahoma" w:hAnsi="Tahoma" w:cs="Tahoma"/>
      <w:sz w:val="16"/>
      <w:szCs w:val="16"/>
      <w:lang w:eastAsia="en-US"/>
    </w:rPr>
  </w:style>
  <w:style w:type="paragraph" w:styleId="NormalWeb">
    <w:name w:val="Normal (Web)"/>
    <w:basedOn w:val="Normal"/>
    <w:rsid w:val="00F441D1"/>
    <w:rPr>
      <w:sz w:val="24"/>
      <w:szCs w:val="24"/>
    </w:rPr>
  </w:style>
  <w:style w:type="paragraph" w:customStyle="1" w:styleId="LightGrid-Accent31">
    <w:name w:val="Light Grid - Accent 31"/>
    <w:basedOn w:val="Normal"/>
    <w:uiPriority w:val="34"/>
    <w:qFormat/>
    <w:rsid w:val="00C109AA"/>
    <w:pPr>
      <w:ind w:left="567"/>
    </w:pPr>
    <w:rPr>
      <w:rFonts w:eastAsia="Calibri"/>
    </w:rPr>
  </w:style>
  <w:style w:type="character" w:customStyle="1" w:styleId="lblnewsfulltext">
    <w:name w:val="lblnewsfulltext"/>
    <w:rsid w:val="00B16FC9"/>
  </w:style>
  <w:style w:type="paragraph" w:styleId="CommentSubject">
    <w:name w:val="annotation subject"/>
    <w:basedOn w:val="CommentText"/>
    <w:next w:val="CommentText"/>
    <w:link w:val="CommentSubjectChar"/>
    <w:rsid w:val="003111EC"/>
    <w:rPr>
      <w:b/>
      <w:bCs/>
    </w:rPr>
  </w:style>
  <w:style w:type="character" w:customStyle="1" w:styleId="CommentSubjectChar">
    <w:name w:val="Comment Subject Char"/>
    <w:link w:val="CommentSubject"/>
    <w:rsid w:val="003111EC"/>
    <w:rPr>
      <w:rFonts w:eastAsia="Calibri"/>
      <w:b/>
      <w:bCs/>
      <w:lang w:eastAsia="en-US"/>
    </w:rPr>
  </w:style>
  <w:style w:type="paragraph" w:customStyle="1" w:styleId="ColorfulList-Accent11">
    <w:name w:val="Colorful List - Accent 11"/>
    <w:basedOn w:val="Normal"/>
    <w:uiPriority w:val="34"/>
    <w:qFormat/>
    <w:rsid w:val="002C10B2"/>
    <w:pPr>
      <w:suppressAutoHyphens w:val="0"/>
      <w:spacing w:line="240" w:lineRule="auto"/>
      <w:ind w:left="720"/>
      <w:contextualSpacing/>
    </w:pPr>
    <w:rPr>
      <w:rFonts w:ascii="Cambria" w:eastAsia="Cambria" w:hAnsi="Cambr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24785">
      <w:bodyDiv w:val="1"/>
      <w:marLeft w:val="0"/>
      <w:marRight w:val="0"/>
      <w:marTop w:val="0"/>
      <w:marBottom w:val="0"/>
      <w:divBdr>
        <w:top w:val="none" w:sz="0" w:space="0" w:color="auto"/>
        <w:left w:val="none" w:sz="0" w:space="0" w:color="auto"/>
        <w:bottom w:val="none" w:sz="0" w:space="0" w:color="auto"/>
        <w:right w:val="none" w:sz="0" w:space="0" w:color="auto"/>
      </w:divBdr>
    </w:div>
    <w:div w:id="291249283">
      <w:bodyDiv w:val="1"/>
      <w:marLeft w:val="0"/>
      <w:marRight w:val="0"/>
      <w:marTop w:val="0"/>
      <w:marBottom w:val="0"/>
      <w:divBdr>
        <w:top w:val="none" w:sz="0" w:space="0" w:color="auto"/>
        <w:left w:val="none" w:sz="0" w:space="0" w:color="auto"/>
        <w:bottom w:val="none" w:sz="0" w:space="0" w:color="auto"/>
        <w:right w:val="none" w:sz="0" w:space="0" w:color="auto"/>
      </w:divBdr>
      <w:divsChild>
        <w:div w:id="275527887">
          <w:marLeft w:val="0"/>
          <w:marRight w:val="0"/>
          <w:marTop w:val="0"/>
          <w:marBottom w:val="0"/>
          <w:divBdr>
            <w:top w:val="none" w:sz="0" w:space="0" w:color="auto"/>
            <w:left w:val="none" w:sz="0" w:space="0" w:color="auto"/>
            <w:bottom w:val="none" w:sz="0" w:space="0" w:color="auto"/>
            <w:right w:val="none" w:sz="0" w:space="0" w:color="auto"/>
          </w:divBdr>
        </w:div>
        <w:div w:id="322053807">
          <w:marLeft w:val="0"/>
          <w:marRight w:val="0"/>
          <w:marTop w:val="0"/>
          <w:marBottom w:val="0"/>
          <w:divBdr>
            <w:top w:val="none" w:sz="0" w:space="0" w:color="auto"/>
            <w:left w:val="none" w:sz="0" w:space="0" w:color="auto"/>
            <w:bottom w:val="none" w:sz="0" w:space="0" w:color="auto"/>
            <w:right w:val="none" w:sz="0" w:space="0" w:color="auto"/>
          </w:divBdr>
        </w:div>
        <w:div w:id="604848961">
          <w:marLeft w:val="0"/>
          <w:marRight w:val="0"/>
          <w:marTop w:val="0"/>
          <w:marBottom w:val="0"/>
          <w:divBdr>
            <w:top w:val="none" w:sz="0" w:space="0" w:color="auto"/>
            <w:left w:val="none" w:sz="0" w:space="0" w:color="auto"/>
            <w:bottom w:val="none" w:sz="0" w:space="0" w:color="auto"/>
            <w:right w:val="none" w:sz="0" w:space="0" w:color="auto"/>
          </w:divBdr>
        </w:div>
        <w:div w:id="751973663">
          <w:marLeft w:val="0"/>
          <w:marRight w:val="0"/>
          <w:marTop w:val="0"/>
          <w:marBottom w:val="0"/>
          <w:divBdr>
            <w:top w:val="none" w:sz="0" w:space="0" w:color="auto"/>
            <w:left w:val="none" w:sz="0" w:space="0" w:color="auto"/>
            <w:bottom w:val="none" w:sz="0" w:space="0" w:color="auto"/>
            <w:right w:val="none" w:sz="0" w:space="0" w:color="auto"/>
          </w:divBdr>
        </w:div>
        <w:div w:id="1112240894">
          <w:marLeft w:val="0"/>
          <w:marRight w:val="0"/>
          <w:marTop w:val="0"/>
          <w:marBottom w:val="0"/>
          <w:divBdr>
            <w:top w:val="none" w:sz="0" w:space="0" w:color="auto"/>
            <w:left w:val="none" w:sz="0" w:space="0" w:color="auto"/>
            <w:bottom w:val="none" w:sz="0" w:space="0" w:color="auto"/>
            <w:right w:val="none" w:sz="0" w:space="0" w:color="auto"/>
          </w:divBdr>
        </w:div>
        <w:div w:id="1476097359">
          <w:marLeft w:val="0"/>
          <w:marRight w:val="0"/>
          <w:marTop w:val="0"/>
          <w:marBottom w:val="0"/>
          <w:divBdr>
            <w:top w:val="none" w:sz="0" w:space="0" w:color="auto"/>
            <w:left w:val="none" w:sz="0" w:space="0" w:color="auto"/>
            <w:bottom w:val="none" w:sz="0" w:space="0" w:color="auto"/>
            <w:right w:val="none" w:sz="0" w:space="0" w:color="auto"/>
          </w:divBdr>
        </w:div>
        <w:div w:id="2048872462">
          <w:marLeft w:val="0"/>
          <w:marRight w:val="0"/>
          <w:marTop w:val="0"/>
          <w:marBottom w:val="0"/>
          <w:divBdr>
            <w:top w:val="none" w:sz="0" w:space="0" w:color="auto"/>
            <w:left w:val="none" w:sz="0" w:space="0" w:color="auto"/>
            <w:bottom w:val="none" w:sz="0" w:space="0" w:color="auto"/>
            <w:right w:val="none" w:sz="0" w:space="0" w:color="auto"/>
          </w:divBdr>
        </w:div>
        <w:div w:id="2068529842">
          <w:marLeft w:val="0"/>
          <w:marRight w:val="0"/>
          <w:marTop w:val="0"/>
          <w:marBottom w:val="0"/>
          <w:divBdr>
            <w:top w:val="none" w:sz="0" w:space="0" w:color="auto"/>
            <w:left w:val="none" w:sz="0" w:space="0" w:color="auto"/>
            <w:bottom w:val="none" w:sz="0" w:space="0" w:color="auto"/>
            <w:right w:val="none" w:sz="0" w:space="0" w:color="auto"/>
          </w:divBdr>
        </w:div>
      </w:divsChild>
    </w:div>
    <w:div w:id="837160236">
      <w:bodyDiv w:val="1"/>
      <w:marLeft w:val="0"/>
      <w:marRight w:val="0"/>
      <w:marTop w:val="0"/>
      <w:marBottom w:val="0"/>
      <w:divBdr>
        <w:top w:val="none" w:sz="0" w:space="0" w:color="auto"/>
        <w:left w:val="none" w:sz="0" w:space="0" w:color="auto"/>
        <w:bottom w:val="none" w:sz="0" w:space="0" w:color="auto"/>
        <w:right w:val="none" w:sz="0" w:space="0" w:color="auto"/>
      </w:divBdr>
    </w:div>
    <w:div w:id="1739328433">
      <w:bodyDiv w:val="1"/>
      <w:marLeft w:val="0"/>
      <w:marRight w:val="0"/>
      <w:marTop w:val="0"/>
      <w:marBottom w:val="0"/>
      <w:divBdr>
        <w:top w:val="none" w:sz="0" w:space="0" w:color="auto"/>
        <w:left w:val="none" w:sz="0" w:space="0" w:color="auto"/>
        <w:bottom w:val="none" w:sz="0" w:space="0" w:color="auto"/>
        <w:right w:val="none" w:sz="0" w:space="0" w:color="auto"/>
      </w:divBdr>
      <w:divsChild>
        <w:div w:id="10880467">
          <w:marLeft w:val="0"/>
          <w:marRight w:val="0"/>
          <w:marTop w:val="0"/>
          <w:marBottom w:val="0"/>
          <w:divBdr>
            <w:top w:val="none" w:sz="0" w:space="0" w:color="auto"/>
            <w:left w:val="none" w:sz="0" w:space="0" w:color="auto"/>
            <w:bottom w:val="none" w:sz="0" w:space="0" w:color="auto"/>
            <w:right w:val="none" w:sz="0" w:space="0" w:color="auto"/>
          </w:divBdr>
        </w:div>
        <w:div w:id="138959932">
          <w:marLeft w:val="0"/>
          <w:marRight w:val="0"/>
          <w:marTop w:val="0"/>
          <w:marBottom w:val="0"/>
          <w:divBdr>
            <w:top w:val="none" w:sz="0" w:space="0" w:color="auto"/>
            <w:left w:val="none" w:sz="0" w:space="0" w:color="auto"/>
            <w:bottom w:val="none" w:sz="0" w:space="0" w:color="auto"/>
            <w:right w:val="none" w:sz="0" w:space="0" w:color="auto"/>
          </w:divBdr>
        </w:div>
        <w:div w:id="203442493">
          <w:marLeft w:val="0"/>
          <w:marRight w:val="0"/>
          <w:marTop w:val="0"/>
          <w:marBottom w:val="0"/>
          <w:divBdr>
            <w:top w:val="none" w:sz="0" w:space="0" w:color="auto"/>
            <w:left w:val="none" w:sz="0" w:space="0" w:color="auto"/>
            <w:bottom w:val="none" w:sz="0" w:space="0" w:color="auto"/>
            <w:right w:val="none" w:sz="0" w:space="0" w:color="auto"/>
          </w:divBdr>
        </w:div>
        <w:div w:id="458648053">
          <w:marLeft w:val="0"/>
          <w:marRight w:val="0"/>
          <w:marTop w:val="0"/>
          <w:marBottom w:val="0"/>
          <w:divBdr>
            <w:top w:val="none" w:sz="0" w:space="0" w:color="auto"/>
            <w:left w:val="none" w:sz="0" w:space="0" w:color="auto"/>
            <w:bottom w:val="none" w:sz="0" w:space="0" w:color="auto"/>
            <w:right w:val="none" w:sz="0" w:space="0" w:color="auto"/>
          </w:divBdr>
        </w:div>
        <w:div w:id="615525622">
          <w:marLeft w:val="0"/>
          <w:marRight w:val="0"/>
          <w:marTop w:val="0"/>
          <w:marBottom w:val="0"/>
          <w:divBdr>
            <w:top w:val="none" w:sz="0" w:space="0" w:color="auto"/>
            <w:left w:val="none" w:sz="0" w:space="0" w:color="auto"/>
            <w:bottom w:val="none" w:sz="0" w:space="0" w:color="auto"/>
            <w:right w:val="none" w:sz="0" w:space="0" w:color="auto"/>
          </w:divBdr>
        </w:div>
        <w:div w:id="810945774">
          <w:marLeft w:val="0"/>
          <w:marRight w:val="0"/>
          <w:marTop w:val="0"/>
          <w:marBottom w:val="0"/>
          <w:divBdr>
            <w:top w:val="none" w:sz="0" w:space="0" w:color="auto"/>
            <w:left w:val="none" w:sz="0" w:space="0" w:color="auto"/>
            <w:bottom w:val="none" w:sz="0" w:space="0" w:color="auto"/>
            <w:right w:val="none" w:sz="0" w:space="0" w:color="auto"/>
          </w:divBdr>
        </w:div>
        <w:div w:id="869218194">
          <w:marLeft w:val="0"/>
          <w:marRight w:val="0"/>
          <w:marTop w:val="0"/>
          <w:marBottom w:val="0"/>
          <w:divBdr>
            <w:top w:val="none" w:sz="0" w:space="0" w:color="auto"/>
            <w:left w:val="none" w:sz="0" w:space="0" w:color="auto"/>
            <w:bottom w:val="none" w:sz="0" w:space="0" w:color="auto"/>
            <w:right w:val="none" w:sz="0" w:space="0" w:color="auto"/>
          </w:divBdr>
        </w:div>
        <w:div w:id="891382422">
          <w:marLeft w:val="0"/>
          <w:marRight w:val="0"/>
          <w:marTop w:val="0"/>
          <w:marBottom w:val="0"/>
          <w:divBdr>
            <w:top w:val="none" w:sz="0" w:space="0" w:color="auto"/>
            <w:left w:val="none" w:sz="0" w:space="0" w:color="auto"/>
            <w:bottom w:val="none" w:sz="0" w:space="0" w:color="auto"/>
            <w:right w:val="none" w:sz="0" w:space="0" w:color="auto"/>
          </w:divBdr>
        </w:div>
        <w:div w:id="1183861789">
          <w:marLeft w:val="0"/>
          <w:marRight w:val="0"/>
          <w:marTop w:val="0"/>
          <w:marBottom w:val="0"/>
          <w:divBdr>
            <w:top w:val="none" w:sz="0" w:space="0" w:color="auto"/>
            <w:left w:val="none" w:sz="0" w:space="0" w:color="auto"/>
            <w:bottom w:val="none" w:sz="0" w:space="0" w:color="auto"/>
            <w:right w:val="none" w:sz="0" w:space="0" w:color="auto"/>
          </w:divBdr>
        </w:div>
        <w:div w:id="1295018510">
          <w:marLeft w:val="0"/>
          <w:marRight w:val="0"/>
          <w:marTop w:val="0"/>
          <w:marBottom w:val="0"/>
          <w:divBdr>
            <w:top w:val="none" w:sz="0" w:space="0" w:color="auto"/>
            <w:left w:val="none" w:sz="0" w:space="0" w:color="auto"/>
            <w:bottom w:val="none" w:sz="0" w:space="0" w:color="auto"/>
            <w:right w:val="none" w:sz="0" w:space="0" w:color="auto"/>
          </w:divBdr>
        </w:div>
        <w:div w:id="1634946684">
          <w:marLeft w:val="0"/>
          <w:marRight w:val="0"/>
          <w:marTop w:val="0"/>
          <w:marBottom w:val="0"/>
          <w:divBdr>
            <w:top w:val="none" w:sz="0" w:space="0" w:color="auto"/>
            <w:left w:val="none" w:sz="0" w:space="0" w:color="auto"/>
            <w:bottom w:val="none" w:sz="0" w:space="0" w:color="auto"/>
            <w:right w:val="none" w:sz="0" w:space="0" w:color="auto"/>
          </w:divBdr>
        </w:div>
        <w:div w:id="1963724449">
          <w:marLeft w:val="0"/>
          <w:marRight w:val="0"/>
          <w:marTop w:val="0"/>
          <w:marBottom w:val="0"/>
          <w:divBdr>
            <w:top w:val="none" w:sz="0" w:space="0" w:color="auto"/>
            <w:left w:val="none" w:sz="0" w:space="0" w:color="auto"/>
            <w:bottom w:val="none" w:sz="0" w:space="0" w:color="auto"/>
            <w:right w:val="none" w:sz="0" w:space="0" w:color="auto"/>
          </w:divBdr>
        </w:div>
        <w:div w:id="2016224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www.mfa.gov.il/mfa/aboutisrael/state/law/pages/summary%20of%20opinion%20concerning" TargetMode="External"/><Relationship Id="rId13" Type="http://schemas.openxmlformats.org/officeDocument/2006/relationships/hyperlink" Target="http://www.unicef.org/oPt/UNICEF_oPt_Children_in_Military_Detention_Bulletin_" TargetMode="External"/><Relationship Id="rId3" Type="http://schemas.openxmlformats.org/officeDocument/2006/relationships/hyperlink" Target="http://www.haaretz.com/news/diplomacy-defense/1.556645" TargetMode="External"/><Relationship Id="rId7" Type="http://schemas.openxmlformats.org/officeDocument/2006/relationships/hyperlink" Target="http://www.ohchr.org/EN/NewsEvents/Pages/DisplayNews.aspx?NewsID=13786&amp;LangID=E" TargetMode="External"/><Relationship Id="rId12" Type="http://schemas.openxmlformats.org/officeDocument/2006/relationships/hyperlink" Target="http://www.stoptorture.org.il/en/" TargetMode="External"/><Relationship Id="rId2" Type="http://schemas.openxmlformats.org/officeDocument/2006/relationships/hyperlink" Target="http://www.stopthewall.org/2013/04/07/further-suppression-demonstrations-occupation" TargetMode="External"/><Relationship Id="rId16" Type="http://schemas.openxmlformats.org/officeDocument/2006/relationships/hyperlink" Target="http://www.icc-cpi.int/en_menus/icc/structure%20of%20the%20court/office%20of%20the%25" TargetMode="External"/><Relationship Id="rId1" Type="http://schemas.openxmlformats.org/officeDocument/2006/relationships/hyperlink" Target="http://www.securityfence.mod.gov.il/Pages/ENG/route.htm" TargetMode="External"/><Relationship Id="rId6" Type="http://schemas.openxmlformats.org/officeDocument/2006/relationships/hyperlink" Target="http://www.ohchr.org/EN/NewsEvents/Pages/DisplayNews.aspx?NewsID=13662&amp;LangID=E" TargetMode="External"/><Relationship Id="rId11" Type="http://schemas.openxmlformats.org/officeDocument/2006/relationships/hyperlink" Target="http://www.addameer.org/etemplate.php?id=294" TargetMode="External"/><Relationship Id="rId5" Type="http://schemas.openxmlformats.org/officeDocument/2006/relationships/hyperlink" Target="http://peacenow.org.il/" TargetMode="External"/><Relationship Id="rId15" Type="http://schemas.openxmlformats.org/officeDocument/2006/relationships/hyperlink" Target="http://www.dci-palestine.org/" TargetMode="External"/><Relationship Id="rId10" Type="http://schemas.openxmlformats.org/officeDocument/2006/relationships/hyperlink" Target="http://www.theguardian.com/world/2013/dec/09/uk-government-warns-over-business-israeli-settlements" TargetMode="External"/><Relationship Id="rId4" Type="http://schemas.openxmlformats.org/officeDocument/2006/relationships/hyperlink" Target="http://www.un.org/News/Press/docs/2013/%20sgsm15427.doc.htm" TargetMode="External"/><Relationship Id="rId9" Type="http://schemas.openxmlformats.org/officeDocument/2006/relationships/hyperlink" Target="http://(www.btselem.org/planning_and_building/east_jerusalem_statistics" TargetMode="External"/><Relationship Id="rId14" Type="http://schemas.openxmlformats.org/officeDocument/2006/relationships/hyperlink" Target="http://unispal.un.org/UNISPAL.NSF/1ce874ab1832a53e852570bb006dfaf6/57c45a3dd0d46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9B72A5607B86419B40EE5C978C7712" ma:contentTypeVersion="1" ma:contentTypeDescription="Create a new document." ma:contentTypeScope="" ma:versionID="aecaa04c25cc58fac7a5d6abc67d72a2">
  <xsd:schema xmlns:xsd="http://www.w3.org/2001/XMLSchema" xmlns:p="http://schemas.microsoft.com/office/2006/metadata/properties" xmlns:ns1="http://schemas.microsoft.com/sharepoint/v3" xmlns:ns2="b4e33e86-409b-44c1-8485-331954efb210" targetNamespace="http://schemas.microsoft.com/office/2006/metadata/properties" ma:root="true" ma:fieldsID="17918db92cd6e167e801a55043efe4a9" ns1:_="" ns2:_="">
    <xsd:import namespace="http://schemas.microsoft.com/sharepoint/v3"/>
    <xsd:import namespace="b4e33e86-409b-44c1-8485-331954efb210"/>
    <xsd:element name="properties">
      <xsd:complexType>
        <xsd:sequence>
          <xsd:element name="documentManagement">
            <xsd:complexType>
              <xsd:all>
                <xsd:element ref="ns2:Title_Ar"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3" nillable="true" ma:displayName="Scheduling Start Date" ma:description="" ma:internalName="PublishingStartDate">
      <xsd:simpleType>
        <xsd:restriction base="dms:Unknown"/>
      </xsd:simpleType>
    </xsd:element>
    <xsd:element name="PublishingExpirationDate" ma:index="4"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b4e33e86-409b-44c1-8485-331954efb210" elementFormDefault="qualified">
    <xsd:import namespace="http://schemas.microsoft.com/office/2006/documentManagement/types"/>
    <xsd:element name="Title_Ar" ma:index="2" nillable="true" ma:displayName="Title_Ar" ma:internalName="Title_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Title_Ar xmlns="b4e33e86-409b-44c1-8485-331954efb210" xsi:nil="true"/>
    <PublishingStartDate xmlns="http://schemas.microsoft.com/sharepoint/v3" xsi:nil="true"/>
  </documentManagement>
</p:properties>
</file>

<file path=customXml/itemProps1.xml><?xml version="1.0" encoding="utf-8"?>
<ds:datastoreItem xmlns:ds="http://schemas.openxmlformats.org/officeDocument/2006/customXml" ds:itemID="{9B64D56D-9816-4865-AE61-B338B1AD35FE}">
  <ds:schemaRefs>
    <ds:schemaRef ds:uri="http://schemas.microsoft.com/sharepoint/v3/contenttype/forms"/>
  </ds:schemaRefs>
</ds:datastoreItem>
</file>

<file path=customXml/itemProps2.xml><?xml version="1.0" encoding="utf-8"?>
<ds:datastoreItem xmlns:ds="http://schemas.openxmlformats.org/officeDocument/2006/customXml" ds:itemID="{3ADCFB5D-81A4-485C-9C56-ECD52458D28B}">
  <ds:schemaRefs>
    <ds:schemaRef ds:uri="http://schemas.microsoft.com/office/2006/metadata/longProperties"/>
  </ds:schemaRefs>
</ds:datastoreItem>
</file>

<file path=customXml/itemProps3.xml><?xml version="1.0" encoding="utf-8"?>
<ds:datastoreItem xmlns:ds="http://schemas.openxmlformats.org/officeDocument/2006/customXml" ds:itemID="{37759DE7-3829-43DC-BFC1-D97E2B95D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e33e86-409b-44c1-8485-331954efb21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CE757BC-14A0-4D15-A558-BB9403FC4B8D}">
  <ds:schemaRefs>
    <ds:schemaRef ds:uri="http://schemas.microsoft.com/office/2006/metadata/properties"/>
    <ds:schemaRef ds:uri="http://schemas.microsoft.com/office/infopath/2007/PartnerControls"/>
    <ds:schemaRef ds:uri="http://schemas.microsoft.com/sharepoint/v3"/>
    <ds:schemaRef ds:uri="b4e33e86-409b-44c1-8485-331954efb210"/>
  </ds:schemaRefs>
</ds:datastoreItem>
</file>

<file path=docProps/app.xml><?xml version="1.0" encoding="utf-8"?>
<Properties xmlns="http://schemas.openxmlformats.org/officeDocument/2006/extended-properties" xmlns:vt="http://schemas.openxmlformats.org/officeDocument/2006/docPropsVTypes">
  <Template>A_E</Template>
  <TotalTime>1</TotalTime>
  <Pages>22</Pages>
  <Words>10068</Words>
  <Characters>57390</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Report of the Special Rapporteur on the situation of human rights in the Palestinian territories occupied since 1967 in English</vt:lpstr>
    </vt:vector>
  </TitlesOfParts>
  <Company>CSD</Company>
  <LinksUpToDate>false</LinksUpToDate>
  <CharactersWithSpaces>67324</CharactersWithSpaces>
  <SharedDoc>false</SharedDoc>
  <HLinks>
    <vt:vector size="96" baseType="variant">
      <vt:variant>
        <vt:i4>7340063</vt:i4>
      </vt:variant>
      <vt:variant>
        <vt:i4>45</vt:i4>
      </vt:variant>
      <vt:variant>
        <vt:i4>0</vt:i4>
      </vt:variant>
      <vt:variant>
        <vt:i4>5</vt:i4>
      </vt:variant>
      <vt:variant>
        <vt:lpwstr>http://www.icc-cpi.int/en_menus/icc/structure of the court/office of the%</vt:lpwstr>
      </vt:variant>
      <vt:variant>
        <vt:lpwstr/>
      </vt:variant>
      <vt:variant>
        <vt:i4>5046364</vt:i4>
      </vt:variant>
      <vt:variant>
        <vt:i4>42</vt:i4>
      </vt:variant>
      <vt:variant>
        <vt:i4>0</vt:i4>
      </vt:variant>
      <vt:variant>
        <vt:i4>5</vt:i4>
      </vt:variant>
      <vt:variant>
        <vt:lpwstr>http://www.dci-palestine.org/</vt:lpwstr>
      </vt:variant>
      <vt:variant>
        <vt:lpwstr/>
      </vt:variant>
      <vt:variant>
        <vt:i4>4390931</vt:i4>
      </vt:variant>
      <vt:variant>
        <vt:i4>39</vt:i4>
      </vt:variant>
      <vt:variant>
        <vt:i4>0</vt:i4>
      </vt:variant>
      <vt:variant>
        <vt:i4>5</vt:i4>
      </vt:variant>
      <vt:variant>
        <vt:lpwstr>http://unispal.un.org/UNISPAL.NSF/1ce874ab1832a53e852570bb006dfaf6/57c45a3dd0d46b</vt:lpwstr>
      </vt:variant>
      <vt:variant>
        <vt:lpwstr/>
      </vt:variant>
      <vt:variant>
        <vt:i4>2818156</vt:i4>
      </vt:variant>
      <vt:variant>
        <vt:i4>36</vt:i4>
      </vt:variant>
      <vt:variant>
        <vt:i4>0</vt:i4>
      </vt:variant>
      <vt:variant>
        <vt:i4>5</vt:i4>
      </vt:variant>
      <vt:variant>
        <vt:lpwstr>http://www.unicef.org/oPt/UNICEF_oPt_Children_in_Military_Detention_Bulletin_</vt:lpwstr>
      </vt:variant>
      <vt:variant>
        <vt:lpwstr/>
      </vt:variant>
      <vt:variant>
        <vt:i4>65606</vt:i4>
      </vt:variant>
      <vt:variant>
        <vt:i4>33</vt:i4>
      </vt:variant>
      <vt:variant>
        <vt:i4>0</vt:i4>
      </vt:variant>
      <vt:variant>
        <vt:i4>5</vt:i4>
      </vt:variant>
      <vt:variant>
        <vt:lpwstr>http://www.stoptorture.org.il/en/</vt:lpwstr>
      </vt:variant>
      <vt:variant>
        <vt:lpwstr/>
      </vt:variant>
      <vt:variant>
        <vt:i4>5177427</vt:i4>
      </vt:variant>
      <vt:variant>
        <vt:i4>30</vt:i4>
      </vt:variant>
      <vt:variant>
        <vt:i4>0</vt:i4>
      </vt:variant>
      <vt:variant>
        <vt:i4>5</vt:i4>
      </vt:variant>
      <vt:variant>
        <vt:lpwstr>http://www.addameer.org/etemplate.php?id=294</vt:lpwstr>
      </vt:variant>
      <vt:variant>
        <vt:lpwstr/>
      </vt:variant>
      <vt:variant>
        <vt:i4>7340149</vt:i4>
      </vt:variant>
      <vt:variant>
        <vt:i4>27</vt:i4>
      </vt:variant>
      <vt:variant>
        <vt:i4>0</vt:i4>
      </vt:variant>
      <vt:variant>
        <vt:i4>5</vt:i4>
      </vt:variant>
      <vt:variant>
        <vt:lpwstr>http://www.theguardian.com/world/2013/dec/09/uk-government-warns-over-business-israeli-settlements</vt:lpwstr>
      </vt:variant>
      <vt:variant>
        <vt:lpwstr/>
      </vt:variant>
      <vt:variant>
        <vt:i4>6881377</vt:i4>
      </vt:variant>
      <vt:variant>
        <vt:i4>24</vt:i4>
      </vt:variant>
      <vt:variant>
        <vt:i4>0</vt:i4>
      </vt:variant>
      <vt:variant>
        <vt:i4>5</vt:i4>
      </vt:variant>
      <vt:variant>
        <vt:lpwstr>http://(www.btselem.org/planning_and_building/east_jerusalem_statistics</vt:lpwstr>
      </vt:variant>
      <vt:variant>
        <vt:lpwstr/>
      </vt:variant>
      <vt:variant>
        <vt:i4>7340090</vt:i4>
      </vt:variant>
      <vt:variant>
        <vt:i4>21</vt:i4>
      </vt:variant>
      <vt:variant>
        <vt:i4>0</vt:i4>
      </vt:variant>
      <vt:variant>
        <vt:i4>5</vt:i4>
      </vt:variant>
      <vt:variant>
        <vt:lpwstr>http://www.mfa.gov.il/mfa/aboutisrael/state/law/pages/summary of opinion concerning</vt:lpwstr>
      </vt:variant>
      <vt:variant>
        <vt:lpwstr/>
      </vt:variant>
      <vt:variant>
        <vt:i4>2097250</vt:i4>
      </vt:variant>
      <vt:variant>
        <vt:i4>18</vt:i4>
      </vt:variant>
      <vt:variant>
        <vt:i4>0</vt:i4>
      </vt:variant>
      <vt:variant>
        <vt:i4>5</vt:i4>
      </vt:variant>
      <vt:variant>
        <vt:lpwstr>http://www.ohchr.org/EN/NewsEvents/Pages/DisplayNews.aspx?NewsID=13786&amp;LangID=E</vt:lpwstr>
      </vt:variant>
      <vt:variant>
        <vt:lpwstr/>
      </vt:variant>
      <vt:variant>
        <vt:i4>2424940</vt:i4>
      </vt:variant>
      <vt:variant>
        <vt:i4>15</vt:i4>
      </vt:variant>
      <vt:variant>
        <vt:i4>0</vt:i4>
      </vt:variant>
      <vt:variant>
        <vt:i4>5</vt:i4>
      </vt:variant>
      <vt:variant>
        <vt:lpwstr>http://www.ohchr.org/EN/NewsEvents/Pages/DisplayNews.aspx?NewsID=13662&amp;LangID=E</vt:lpwstr>
      </vt:variant>
      <vt:variant>
        <vt:lpwstr/>
      </vt:variant>
      <vt:variant>
        <vt:i4>3014775</vt:i4>
      </vt:variant>
      <vt:variant>
        <vt:i4>12</vt:i4>
      </vt:variant>
      <vt:variant>
        <vt:i4>0</vt:i4>
      </vt:variant>
      <vt:variant>
        <vt:i4>5</vt:i4>
      </vt:variant>
      <vt:variant>
        <vt:lpwstr>http://peacenow.org.il/</vt:lpwstr>
      </vt:variant>
      <vt:variant>
        <vt:lpwstr/>
      </vt:variant>
      <vt:variant>
        <vt:i4>4194371</vt:i4>
      </vt:variant>
      <vt:variant>
        <vt:i4>9</vt:i4>
      </vt:variant>
      <vt:variant>
        <vt:i4>0</vt:i4>
      </vt:variant>
      <vt:variant>
        <vt:i4>5</vt:i4>
      </vt:variant>
      <vt:variant>
        <vt:lpwstr>http://www.un.org/News/Press/docs/2013/ sgsm15427.doc.htm</vt:lpwstr>
      </vt:variant>
      <vt:variant>
        <vt:lpwstr/>
      </vt:variant>
      <vt:variant>
        <vt:i4>6750243</vt:i4>
      </vt:variant>
      <vt:variant>
        <vt:i4>6</vt:i4>
      </vt:variant>
      <vt:variant>
        <vt:i4>0</vt:i4>
      </vt:variant>
      <vt:variant>
        <vt:i4>5</vt:i4>
      </vt:variant>
      <vt:variant>
        <vt:lpwstr>http://www.haaretz.com/news/diplomacy-defense/1.556645</vt:lpwstr>
      </vt:variant>
      <vt:variant>
        <vt:lpwstr/>
      </vt:variant>
      <vt:variant>
        <vt:i4>3670066</vt:i4>
      </vt:variant>
      <vt:variant>
        <vt:i4>3</vt:i4>
      </vt:variant>
      <vt:variant>
        <vt:i4>0</vt:i4>
      </vt:variant>
      <vt:variant>
        <vt:i4>5</vt:i4>
      </vt:variant>
      <vt:variant>
        <vt:lpwstr>http://www.stopthewall.org/2013/04/07/further-suppression-demonstrations-occupation</vt:lpwstr>
      </vt:variant>
      <vt:variant>
        <vt:lpwstr/>
      </vt:variant>
      <vt:variant>
        <vt:i4>2424952</vt:i4>
      </vt:variant>
      <vt:variant>
        <vt:i4>0</vt:i4>
      </vt:variant>
      <vt:variant>
        <vt:i4>0</vt:i4>
      </vt:variant>
      <vt:variant>
        <vt:i4>5</vt:i4>
      </vt:variant>
      <vt:variant>
        <vt:lpwstr>http://www.securityfence.mod.gov.il/Pages/ENG/route.htm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situation of human rights in the Palestinian territories occupied since 1967 in English</dc:title>
  <dc:subject/>
  <dc:creator>KH</dc:creator>
  <cp:keywords/>
  <cp:lastModifiedBy>Sarah Willig</cp:lastModifiedBy>
  <cp:revision>2</cp:revision>
  <cp:lastPrinted>2014-01-15T14:12:00Z</cp:lastPrinted>
  <dcterms:created xsi:type="dcterms:W3CDTF">2017-03-03T20:01:00Z</dcterms:created>
  <dcterms:modified xsi:type="dcterms:W3CDTF">2017-03-03T20:01:00Z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ies>
</file>