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F9A6" w14:textId="77777777" w:rsidR="00286B1B" w:rsidRDefault="00286B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 Human Rights Council “Commission of Inquiry” on Israel created May 27, 2021 by resolution A/HRC/RES/S-30/1</w:t>
      </w:r>
    </w:p>
    <w:p w14:paraId="59E03703" w14:textId="77777777" w:rsidR="00286B1B" w:rsidRDefault="00286B1B">
      <w:pPr>
        <w:rPr>
          <w:rStyle w:val="il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Name: LEN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BENNETT</w:t>
      </w:r>
    </w:p>
    <w:p w14:paraId="09AB428A" w14:textId="77777777" w:rsidR="00286B1B" w:rsidRDefault="00286B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Biography: Author of “UNFINISHED WORK”</w:t>
      </w:r>
    </w:p>
    <w:p w14:paraId="0A245073" w14:textId="77777777" w:rsidR="00286B1B" w:rsidRDefault="00286B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Issue(s) to which your submission applies: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(1) “Underlying root causes of recurrent tensions, instability and protraction of conflict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between the Occupied Palestinian Territory, including East Jerusalem [sic],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Israel; as well as systematic discrimination and repression based on national, ethnic,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racial or religious identity;”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(2) “Facts and circumstances regarding alleged violations of international humanitarian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law and alleged violations and abuses of international human rights law leading up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since 13 April 2021;”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(3) “Identification of those responsible;”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(4) “Recommendations on accountability measures, with a view to avoiding and ending impunity and ensuring legal accountability, including individual criminal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command responsibility;”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(5) “Recommendations on measures to be taken by third States to ensure respect 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international humanitarian law in the Occupied Palestinian Territory, including East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Jerusalem [sic].”</w:t>
      </w:r>
      <w:proofErr w:type="gramEnd"/>
    </w:p>
    <w:p w14:paraId="2E2EF49D" w14:textId="77777777" w:rsidR="00286B1B" w:rsidRDefault="00286B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Note: this submission in itself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should not be understood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as an endorsement of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Commission of Inquiry,</w:t>
      </w:r>
      <w:r>
        <w:rPr>
          <w:rFonts w:ascii="Arial" w:hAnsi="Arial" w:cs="Arial"/>
          <w:color w:val="222222"/>
          <w:shd w:val="clear" w:color="auto" w:fill="FFFFFF"/>
        </w:rPr>
        <w:t xml:space="preserve">” </w:t>
      </w:r>
      <w:r>
        <w:rPr>
          <w:rFonts w:ascii="Arial" w:hAnsi="Arial" w:cs="Arial"/>
          <w:color w:val="222222"/>
          <w:shd w:val="clear" w:color="auto" w:fill="FFFFFF"/>
        </w:rPr>
        <w:t>including its mandate.</w:t>
      </w:r>
    </w:p>
    <w:p w14:paraId="5A6B04A6" w14:textId="77777777" w:rsidR="00286B1B" w:rsidRDefault="00286B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Submission:</w:t>
      </w:r>
    </w:p>
    <w:p w14:paraId="569E376F" w14:textId="77777777" w:rsidR="002711F6" w:rsidRDefault="00286B1B"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What is ‘international law’ and what is political posturing.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British Mandate for Palestine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was created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 1920 at the San Remo Accords as the reconstituted homeland for the Jews. Other mandates established at the same time were for Jordan, Lebanon, Syria and Iraq.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Mandate for Palestine as the reconstituted homeland of the Jewish people was ratified by the League of Nations in 1922 and the Anglo-American Accords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 1924.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Article 80 of the UN Charter, once known unofficially as the Jewish People’s clause, preserves intact all the rights granted to Jews under the Mandate.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summary, under international law, Israel includes Gaza and Judea and Samaria.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Only Israel has the right to partition its territory or change its status in any way. The UN can pass whatever it wants, but it cannot over-ride international law.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lastRenderedPageBreak/>
        <w:t>Only when the PA decides to sit down with Israel and make peace, will an Arab Palestine be created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1B"/>
    <w:rsid w:val="00286B1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E376"/>
  <w15:chartTrackingRefBased/>
  <w15:docId w15:val="{9EEB6E26-114C-4EC6-919D-E485AE5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8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2022-03-01T21:46:00Z</dcterms:created>
  <dcterms:modified xsi:type="dcterms:W3CDTF">2022-03-01T21:47:00Z</dcterms:modified>
</cp:coreProperties>
</file>