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F9A6" w14:textId="77777777" w:rsidR="00286B1B" w:rsidRDefault="00286B1B">
      <w:pPr>
        <w:rPr>
          <w:rFonts w:ascii="Arial" w:hAnsi="Arial" w:cs="Arial"/>
          <w:color w:val="222222"/>
          <w:shd w:val="clear" w:color="auto" w:fill="FFFFFF"/>
        </w:rPr>
      </w:pPr>
      <w:r>
        <w:rPr>
          <w:rFonts w:ascii="Arial" w:hAnsi="Arial" w:cs="Arial"/>
          <w:color w:val="222222"/>
          <w:shd w:val="clear" w:color="auto" w:fill="FFFFFF"/>
        </w:rPr>
        <w:t>UN Human Rights Council “Commission of Inquiry” on Israel created May 27, 2021 by resolution A/HRC/RES/S-30/1</w:t>
      </w:r>
    </w:p>
    <w:p w14:paraId="59E03703" w14:textId="77777777" w:rsidR="00286B1B" w:rsidRDefault="00286B1B">
      <w:pPr>
        <w:rPr>
          <w:rStyle w:val="il"/>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Name: LEN </w:t>
      </w:r>
      <w:r>
        <w:rPr>
          <w:rStyle w:val="il"/>
          <w:rFonts w:ascii="Arial" w:hAnsi="Arial" w:cs="Arial"/>
          <w:color w:val="222222"/>
          <w:shd w:val="clear" w:color="auto" w:fill="FFFFFF"/>
        </w:rPr>
        <w:t>BENNETT</w:t>
      </w:r>
    </w:p>
    <w:p w14:paraId="09AB428A"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Biography: Author of “UNFINISHED WORK”</w:t>
      </w:r>
    </w:p>
    <w:p w14:paraId="0A245073"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Issue(s) to which your submission applies:</w:t>
      </w:r>
      <w:r>
        <w:rPr>
          <w:rFonts w:ascii="Arial" w:hAnsi="Arial" w:cs="Arial"/>
          <w:color w:val="222222"/>
        </w:rPr>
        <w:br/>
      </w:r>
      <w:r>
        <w:rPr>
          <w:rFonts w:ascii="Arial" w:hAnsi="Arial" w:cs="Arial"/>
          <w:color w:val="222222"/>
          <w:shd w:val="clear" w:color="auto" w:fill="FFFFFF"/>
        </w:rPr>
        <w:t>(1) “Underlying root causes of recurrent tensions, instability and protraction of conflict in</w:t>
      </w:r>
      <w:r>
        <w:rPr>
          <w:rFonts w:ascii="Arial" w:hAnsi="Arial" w:cs="Arial"/>
          <w:color w:val="222222"/>
        </w:rPr>
        <w:br/>
      </w:r>
      <w:r>
        <w:rPr>
          <w:rFonts w:ascii="Arial" w:hAnsi="Arial" w:cs="Arial"/>
          <w:color w:val="222222"/>
          <w:shd w:val="clear" w:color="auto" w:fill="FFFFFF"/>
        </w:rPr>
        <w:t>and between the Occupied Palestinian Territory, including East Jerusalem [sic], and</w:t>
      </w:r>
      <w:r>
        <w:rPr>
          <w:rFonts w:ascii="Arial" w:hAnsi="Arial" w:cs="Arial"/>
          <w:color w:val="222222"/>
        </w:rPr>
        <w:br/>
      </w:r>
      <w:r>
        <w:rPr>
          <w:rFonts w:ascii="Arial" w:hAnsi="Arial" w:cs="Arial"/>
          <w:color w:val="222222"/>
          <w:shd w:val="clear" w:color="auto" w:fill="FFFFFF"/>
        </w:rPr>
        <w:t>Israel; as well as systematic discrimination and repression based on national, ethnic,</w:t>
      </w:r>
      <w:r>
        <w:rPr>
          <w:rFonts w:ascii="Arial" w:hAnsi="Arial" w:cs="Arial"/>
          <w:color w:val="222222"/>
        </w:rPr>
        <w:br/>
      </w:r>
      <w:r>
        <w:rPr>
          <w:rFonts w:ascii="Arial" w:hAnsi="Arial" w:cs="Arial"/>
          <w:color w:val="222222"/>
          <w:shd w:val="clear" w:color="auto" w:fill="FFFFFF"/>
        </w:rPr>
        <w:t>racial or religious identity;”</w:t>
      </w:r>
      <w:r>
        <w:rPr>
          <w:rFonts w:ascii="Arial" w:hAnsi="Arial" w:cs="Arial"/>
          <w:color w:val="222222"/>
        </w:rPr>
        <w:br/>
      </w:r>
      <w:r>
        <w:rPr>
          <w:rFonts w:ascii="Arial" w:hAnsi="Arial" w:cs="Arial"/>
          <w:color w:val="222222"/>
          <w:shd w:val="clear" w:color="auto" w:fill="FFFFFF"/>
        </w:rPr>
        <w:t>(2) “Facts and circumstances regarding alleged violations of international humanitarian</w:t>
      </w:r>
      <w:r>
        <w:rPr>
          <w:rFonts w:ascii="Arial" w:hAnsi="Arial" w:cs="Arial"/>
          <w:color w:val="222222"/>
        </w:rPr>
        <w:br/>
      </w:r>
      <w:r>
        <w:rPr>
          <w:rFonts w:ascii="Arial" w:hAnsi="Arial" w:cs="Arial"/>
          <w:color w:val="222222"/>
          <w:shd w:val="clear" w:color="auto" w:fill="FFFFFF"/>
        </w:rPr>
        <w:t>law and alleged violations and abuses of international human rights law leading up to</w:t>
      </w:r>
      <w:r>
        <w:rPr>
          <w:rFonts w:ascii="Arial" w:hAnsi="Arial" w:cs="Arial"/>
          <w:color w:val="222222"/>
        </w:rPr>
        <w:br/>
      </w:r>
      <w:r>
        <w:rPr>
          <w:rFonts w:ascii="Arial" w:hAnsi="Arial" w:cs="Arial"/>
          <w:color w:val="222222"/>
          <w:shd w:val="clear" w:color="auto" w:fill="FFFFFF"/>
        </w:rPr>
        <w:t>and since 13 April 2021;”</w:t>
      </w:r>
      <w:r>
        <w:rPr>
          <w:rFonts w:ascii="Arial" w:hAnsi="Arial" w:cs="Arial"/>
          <w:color w:val="222222"/>
        </w:rPr>
        <w:br/>
      </w:r>
      <w:r>
        <w:rPr>
          <w:rFonts w:ascii="Arial" w:hAnsi="Arial" w:cs="Arial"/>
          <w:color w:val="222222"/>
          <w:shd w:val="clear" w:color="auto" w:fill="FFFFFF"/>
        </w:rPr>
        <w:t>(3) “Identification of those responsible;”</w:t>
      </w:r>
      <w:r>
        <w:rPr>
          <w:rFonts w:ascii="Arial" w:hAnsi="Arial" w:cs="Arial"/>
          <w:color w:val="222222"/>
        </w:rPr>
        <w:br/>
      </w:r>
      <w:r>
        <w:rPr>
          <w:rFonts w:ascii="Arial" w:hAnsi="Arial" w:cs="Arial"/>
          <w:color w:val="222222"/>
          <w:shd w:val="clear" w:color="auto" w:fill="FFFFFF"/>
        </w:rPr>
        <w:t>(4) “Recommendations on accountability measures, with a view to avoiding and ending impunity and ensuring legal accountability, including individual criminal and</w:t>
      </w:r>
      <w:r>
        <w:rPr>
          <w:rFonts w:ascii="Arial" w:hAnsi="Arial" w:cs="Arial"/>
          <w:color w:val="222222"/>
        </w:rPr>
        <w:br/>
      </w:r>
      <w:r>
        <w:rPr>
          <w:rFonts w:ascii="Arial" w:hAnsi="Arial" w:cs="Arial"/>
          <w:color w:val="222222"/>
          <w:shd w:val="clear" w:color="auto" w:fill="FFFFFF"/>
        </w:rPr>
        <w:t>command responsibility;”</w:t>
      </w:r>
      <w:r>
        <w:rPr>
          <w:rFonts w:ascii="Arial" w:hAnsi="Arial" w:cs="Arial"/>
          <w:color w:val="222222"/>
        </w:rPr>
        <w:br/>
      </w:r>
      <w:r>
        <w:rPr>
          <w:rFonts w:ascii="Arial" w:hAnsi="Arial" w:cs="Arial"/>
          <w:color w:val="222222"/>
          <w:shd w:val="clear" w:color="auto" w:fill="FFFFFF"/>
        </w:rPr>
        <w:t>(5) “Recommendations on measures to be taken by third States to ensure respect for</w:t>
      </w:r>
      <w:r>
        <w:rPr>
          <w:rFonts w:ascii="Arial" w:hAnsi="Arial" w:cs="Arial"/>
          <w:color w:val="222222"/>
        </w:rPr>
        <w:br/>
      </w:r>
      <w:r>
        <w:rPr>
          <w:rFonts w:ascii="Arial" w:hAnsi="Arial" w:cs="Arial"/>
          <w:color w:val="222222"/>
          <w:shd w:val="clear" w:color="auto" w:fill="FFFFFF"/>
        </w:rPr>
        <w:t>international humanitarian law in the Occupied Palestinian Territory, including East</w:t>
      </w:r>
      <w:r>
        <w:rPr>
          <w:rFonts w:ascii="Arial" w:hAnsi="Arial" w:cs="Arial"/>
          <w:color w:val="222222"/>
        </w:rPr>
        <w:br/>
      </w:r>
      <w:r>
        <w:rPr>
          <w:rFonts w:ascii="Arial" w:hAnsi="Arial" w:cs="Arial"/>
          <w:color w:val="222222"/>
          <w:shd w:val="clear" w:color="auto" w:fill="FFFFFF"/>
        </w:rPr>
        <w:t>Jerusalem [sic].”</w:t>
      </w:r>
    </w:p>
    <w:p w14:paraId="2E2EF49D"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Note: this submission in itself should not be understood as an endorsement of the</w:t>
      </w:r>
      <w:r>
        <w:rPr>
          <w:rFonts w:ascii="Arial" w:hAnsi="Arial" w:cs="Arial"/>
          <w:color w:val="222222"/>
        </w:rPr>
        <w:br/>
      </w:r>
      <w:r>
        <w:rPr>
          <w:rFonts w:ascii="Arial" w:hAnsi="Arial" w:cs="Arial"/>
          <w:color w:val="222222"/>
          <w:shd w:val="clear" w:color="auto" w:fill="FFFFFF"/>
        </w:rPr>
        <w:t>“</w:t>
      </w:r>
      <w:r>
        <w:rPr>
          <w:rFonts w:ascii="Arial" w:hAnsi="Arial" w:cs="Arial"/>
          <w:color w:val="222222"/>
          <w:shd w:val="clear" w:color="auto" w:fill="FFFFFF"/>
        </w:rPr>
        <w:t>Commission of Inquiry,</w:t>
      </w:r>
      <w:r>
        <w:rPr>
          <w:rFonts w:ascii="Arial" w:hAnsi="Arial" w:cs="Arial"/>
          <w:color w:val="222222"/>
          <w:shd w:val="clear" w:color="auto" w:fill="FFFFFF"/>
        </w:rPr>
        <w:t xml:space="preserve">” </w:t>
      </w:r>
      <w:r>
        <w:rPr>
          <w:rFonts w:ascii="Arial" w:hAnsi="Arial" w:cs="Arial"/>
          <w:color w:val="222222"/>
          <w:shd w:val="clear" w:color="auto" w:fill="FFFFFF"/>
        </w:rPr>
        <w:t>including its mandate.</w:t>
      </w:r>
    </w:p>
    <w:p w14:paraId="5A6B04A6" w14:textId="77777777" w:rsidR="00286B1B" w:rsidRDefault="00286B1B">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Submission:</w:t>
      </w:r>
    </w:p>
    <w:p w14:paraId="569E376F" w14:textId="16232C00" w:rsidR="002711F6" w:rsidRDefault="00286B1B">
      <w:r>
        <w:rPr>
          <w:rFonts w:ascii="Arial" w:hAnsi="Arial" w:cs="Arial"/>
          <w:color w:val="222222"/>
        </w:rPr>
        <w:br/>
      </w:r>
      <w:r w:rsidR="000C0E85">
        <w:rPr>
          <w:rFonts w:ascii="Arial" w:hAnsi="Arial" w:cs="Arial"/>
          <w:color w:val="222222"/>
          <w:shd w:val="clear" w:color="auto" w:fill="FFFFFF"/>
        </w:rPr>
        <w:t>Here is the chronology of events leading to the April, 2021 Hamas-Israel fighting.</w:t>
      </w:r>
      <w:r w:rsidR="000C0E85">
        <w:rPr>
          <w:rFonts w:ascii="Arial" w:hAnsi="Arial" w:cs="Arial"/>
          <w:color w:val="222222"/>
        </w:rPr>
        <w:br/>
      </w:r>
      <w:r w:rsidR="000C0E85">
        <w:rPr>
          <w:rFonts w:ascii="Arial" w:hAnsi="Arial" w:cs="Arial"/>
          <w:color w:val="222222"/>
          <w:shd w:val="clear" w:color="auto" w:fill="FFFFFF"/>
        </w:rPr>
        <w:t>The Palestinian Authority cancelled elections, which Hamas believed they would win. Hamas had to assert themselves in the ‘Arab street,’ so they planned an attack on Israel. What is excuse for the attack?</w:t>
      </w:r>
      <w:r w:rsidR="000C0E85">
        <w:rPr>
          <w:rFonts w:ascii="Arial" w:hAnsi="Arial" w:cs="Arial"/>
          <w:color w:val="222222"/>
        </w:rPr>
        <w:br/>
      </w:r>
      <w:r w:rsidR="000C0E85">
        <w:rPr>
          <w:rFonts w:ascii="Arial" w:hAnsi="Arial" w:cs="Arial"/>
          <w:color w:val="222222"/>
          <w:shd w:val="clear" w:color="auto" w:fill="FFFFFF"/>
        </w:rPr>
        <w:t>Four Arab families live in Jewish-owned homes, but refuse to pay rent. The landlords took them to court (still pending) to evict them unless they agreed to pay.</w:t>
      </w:r>
      <w:r w:rsidR="000C0E85">
        <w:rPr>
          <w:rFonts w:ascii="Arial" w:hAnsi="Arial" w:cs="Arial"/>
          <w:color w:val="222222"/>
        </w:rPr>
        <w:br/>
      </w:r>
      <w:r w:rsidR="000C0E85">
        <w:rPr>
          <w:rFonts w:ascii="Arial" w:hAnsi="Arial" w:cs="Arial"/>
          <w:color w:val="222222"/>
          <w:shd w:val="clear" w:color="auto" w:fill="FFFFFF"/>
        </w:rPr>
        <w:t>It was Ramadan, always a time to riot, claiming the Jews were destroying Al-Aqsa. Arab thugs piled cement chunks and boulders in the mosque, and, on queue, threw them over the wall where Jews were praying below. The police intervened, of course.</w:t>
      </w:r>
      <w:r w:rsidR="000C0E85">
        <w:rPr>
          <w:rFonts w:ascii="Arial" w:hAnsi="Arial" w:cs="Arial"/>
          <w:color w:val="222222"/>
        </w:rPr>
        <w:br/>
      </w:r>
      <w:r w:rsidR="000C0E85">
        <w:rPr>
          <w:rFonts w:ascii="Arial" w:hAnsi="Arial" w:cs="Arial"/>
          <w:color w:val="222222"/>
          <w:shd w:val="clear" w:color="auto" w:fill="FFFFFF"/>
        </w:rPr>
        <w:t>Hamas fired a series of rockets into civilian areas of Israel and Israel retaliated.</w:t>
      </w:r>
      <w:r w:rsidR="000C0E85">
        <w:rPr>
          <w:rFonts w:ascii="Arial" w:hAnsi="Arial" w:cs="Arial"/>
          <w:color w:val="222222"/>
        </w:rPr>
        <w:br/>
      </w:r>
      <w:r w:rsidR="000C0E85">
        <w:rPr>
          <w:rFonts w:ascii="Arial" w:hAnsi="Arial" w:cs="Arial"/>
          <w:color w:val="222222"/>
          <w:shd w:val="clear" w:color="auto" w:fill="FFFFFF"/>
        </w:rPr>
        <w:t xml:space="preserve">Hamas fired 4,300 rockets indiscriminately into Israel. Israel warned the Gazans to get out of the way and go south because they were going to attack Hamas’s infrastructure. </w:t>
      </w:r>
      <w:r w:rsidR="000C0E85">
        <w:rPr>
          <w:rFonts w:ascii="Arial" w:hAnsi="Arial" w:cs="Arial"/>
          <w:color w:val="222222"/>
          <w:shd w:val="clear" w:color="auto" w:fill="FFFFFF"/>
        </w:rPr>
        <w:lastRenderedPageBreak/>
        <w:t>(No other army ever warned its enemy to vacate a war zone.)</w:t>
      </w:r>
      <w:r w:rsidR="000C0E85">
        <w:rPr>
          <w:rFonts w:ascii="Arial" w:hAnsi="Arial" w:cs="Arial"/>
          <w:color w:val="222222"/>
        </w:rPr>
        <w:br/>
      </w:r>
      <w:r w:rsidR="000C0E85">
        <w:rPr>
          <w:rFonts w:ascii="Arial" w:hAnsi="Arial" w:cs="Arial"/>
          <w:color w:val="222222"/>
          <w:shd w:val="clear" w:color="auto" w:fill="FFFFFF"/>
        </w:rPr>
        <w:t>800 Hamas rockets landed in Gaza. Hamas committed double war crimes; targeting civilians, and using their own civilians as human shields.</w:t>
      </w:r>
      <w:r w:rsidR="000C0E85">
        <w:rPr>
          <w:rFonts w:ascii="Arial" w:hAnsi="Arial" w:cs="Arial"/>
          <w:color w:val="222222"/>
        </w:rPr>
        <w:br/>
      </w:r>
      <w:r w:rsidR="000C0E85">
        <w:rPr>
          <w:rFonts w:ascii="Arial" w:hAnsi="Arial" w:cs="Arial"/>
          <w:color w:val="222222"/>
          <w:shd w:val="clear" w:color="auto" w:fill="FFFFFF"/>
        </w:rPr>
        <w:t>We must firmly support Israel and condemn Hamas terrorism. We should cease all funding to the PA/Hamas regimes until they make peace with Israel.</w:t>
      </w:r>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1B"/>
    <w:rsid w:val="000C0E85"/>
    <w:rsid w:val="00286B1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E376"/>
  <w15:chartTrackingRefBased/>
  <w15:docId w15:val="{9EEB6E26-114C-4EC6-919D-E485AE5E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8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2022-03-01T21:49:00Z</dcterms:created>
  <dcterms:modified xsi:type="dcterms:W3CDTF">2022-03-01T21:49:00Z</dcterms:modified>
</cp:coreProperties>
</file>