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369A9" w14:textId="2FDBFD56" w:rsidR="001A67D3" w:rsidRPr="001D256F" w:rsidRDefault="001D256F">
      <w:pPr>
        <w:rPr>
          <w:b/>
          <w:bCs/>
        </w:rPr>
      </w:pPr>
      <w:r w:rsidRPr="001D256F">
        <w:rPr>
          <w:b/>
          <w:bCs/>
          <w:sz w:val="48"/>
          <w:szCs w:val="48"/>
        </w:rPr>
        <w:t xml:space="preserve">What You </w:t>
      </w:r>
      <w:proofErr w:type="gramStart"/>
      <w:r w:rsidRPr="001D256F">
        <w:rPr>
          <w:b/>
          <w:bCs/>
          <w:sz w:val="48"/>
          <w:szCs w:val="48"/>
        </w:rPr>
        <w:t>Can’t</w:t>
      </w:r>
      <w:proofErr w:type="gramEnd"/>
      <w:r w:rsidRPr="001D256F">
        <w:rPr>
          <w:b/>
          <w:bCs/>
          <w:sz w:val="48"/>
          <w:szCs w:val="48"/>
        </w:rPr>
        <w:t xml:space="preserve"> See on the UN’s Maps of Gaza</w:t>
      </w:r>
    </w:p>
    <w:p w14:paraId="2592A748" w14:textId="2DF50122" w:rsidR="001D256F" w:rsidRDefault="0005258D">
      <w:r>
        <w:t>Israel Ministry of Foreign Affairs</w:t>
      </w:r>
    </w:p>
    <w:p w14:paraId="195E974A" w14:textId="17F69F30" w:rsidR="001D256F" w:rsidRDefault="001D256F">
      <w:r>
        <w:t>August 25, 2014</w:t>
      </w:r>
    </w:p>
    <w:p w14:paraId="6B45B1A7" w14:textId="421F8A8D" w:rsidR="001D256F" w:rsidRDefault="00C43EBD">
      <w:hyperlink r:id="rId4" w:history="1">
        <w:r w:rsidR="0005258D" w:rsidRPr="0002675F">
          <w:rPr>
            <w:rStyle w:val="Hyperlink"/>
          </w:rPr>
          <w:t>https://mfa.gov.il/MFA/ForeignPolicy/Terrorism/Pages/What-you-cant-see-on-UN-maps-of-Gaza.aspx</w:t>
        </w:r>
      </w:hyperlink>
      <w:r w:rsidR="0005258D">
        <w:t xml:space="preserve"> </w:t>
      </w:r>
    </w:p>
    <w:p w14:paraId="6CD00827" w14:textId="69D42AF1" w:rsidR="001D256F" w:rsidRDefault="001D256F"/>
    <w:p w14:paraId="56A623CC" w14:textId="7452D7F7" w:rsidR="001D256F" w:rsidRDefault="0005258D">
      <w:pPr>
        <w:rPr>
          <w:rFonts w:ascii="Arial" w:hAnsi="Arial" w:cs="Arial"/>
          <w:b/>
          <w:bCs/>
          <w:color w:val="404040"/>
          <w:sz w:val="21"/>
          <w:szCs w:val="21"/>
          <w:shd w:val="clear" w:color="auto" w:fill="FFFFFF"/>
        </w:rPr>
      </w:pPr>
      <w:r>
        <w:rPr>
          <w:rFonts w:ascii="Arial" w:hAnsi="Arial" w:cs="Arial"/>
          <w:b/>
          <w:bCs/>
          <w:color w:val="404040"/>
          <w:sz w:val="21"/>
          <w:szCs w:val="21"/>
          <w:shd w:val="clear" w:color="auto" w:fill="FFFFFF"/>
        </w:rPr>
        <w:t>The red dots on the UN’s maps represent more than destruction. They show the many cases in which terrorists attacked Israel from heavily populated areas in Gaza.</w:t>
      </w:r>
    </w:p>
    <w:p w14:paraId="29340DDA" w14:textId="4D04260F" w:rsidR="0005258D" w:rsidRDefault="0005258D">
      <w:pPr>
        <w:rPr>
          <w:rFonts w:ascii="Arial" w:hAnsi="Arial" w:cs="Arial"/>
          <w:b/>
          <w:bCs/>
          <w:color w:val="404040"/>
          <w:sz w:val="21"/>
          <w:szCs w:val="21"/>
          <w:shd w:val="clear" w:color="auto" w:fill="FFFFFF"/>
        </w:rPr>
      </w:pPr>
    </w:p>
    <w:p w14:paraId="19200200" w14:textId="0FE9AA50" w:rsidR="0005258D" w:rsidRDefault="0005258D">
      <w:pPr>
        <w:rPr>
          <w:rFonts w:ascii="Arial" w:hAnsi="Arial" w:cs="Arial"/>
          <w:color w:val="404040"/>
          <w:sz w:val="21"/>
          <w:szCs w:val="21"/>
          <w:shd w:val="clear" w:color="auto" w:fill="FFFFFF"/>
        </w:rPr>
      </w:pPr>
      <w:r w:rsidRPr="0005258D">
        <w:rPr>
          <w:rFonts w:ascii="Arial" w:hAnsi="Arial" w:cs="Arial"/>
          <w:color w:val="404040"/>
          <w:sz w:val="21"/>
          <w:szCs w:val="21"/>
          <w:shd w:val="clear" w:color="auto" w:fill="FFFFFF"/>
        </w:rPr>
        <w:t>(</w:t>
      </w:r>
      <w:hyperlink r:id="rId5" w:tgtFrame="_blank" w:history="1">
        <w:r w:rsidRPr="0005258D">
          <w:rPr>
            <w:rFonts w:ascii="Arial" w:hAnsi="Arial" w:cs="Arial"/>
            <w:color w:val="0000FF"/>
            <w:sz w:val="21"/>
            <w:szCs w:val="21"/>
            <w:u w:val="single"/>
            <w:bdr w:val="none" w:sz="0" w:space="0" w:color="auto" w:frame="1"/>
            <w:shd w:val="clear" w:color="auto" w:fill="FFFFFF"/>
          </w:rPr>
          <w:t>IDF Spokesperson</w:t>
        </w:r>
      </w:hyperlink>
      <w:r w:rsidRPr="0005258D">
        <w:rPr>
          <w:rFonts w:ascii="Arial" w:hAnsi="Arial" w:cs="Arial"/>
          <w:color w:val="404040"/>
          <w:sz w:val="21"/>
          <w:szCs w:val="21"/>
          <w:shd w:val="clear" w:color="auto" w:fill="FFFFFF"/>
        </w:rPr>
        <w:t>)</w:t>
      </w:r>
    </w:p>
    <w:p w14:paraId="2D7075E5" w14:textId="77777777" w:rsidR="0005258D" w:rsidRDefault="0005258D">
      <w:pPr>
        <w:rPr>
          <w:rFonts w:ascii="Arial" w:hAnsi="Arial" w:cs="Arial"/>
          <w:color w:val="404040"/>
          <w:sz w:val="21"/>
          <w:szCs w:val="21"/>
          <w:shd w:val="clear" w:color="auto" w:fill="FFFFFF"/>
        </w:rPr>
      </w:pPr>
    </w:p>
    <w:p w14:paraId="2E17A7A2" w14:textId="77777777" w:rsidR="0005258D" w:rsidRDefault="0005258D">
      <w:pPr>
        <w:rPr>
          <w:rFonts w:ascii="Arial" w:hAnsi="Arial" w:cs="Arial"/>
          <w:color w:val="404040"/>
          <w:sz w:val="21"/>
          <w:szCs w:val="21"/>
        </w:rPr>
      </w:pPr>
      <w:r>
        <w:rPr>
          <w:noProof/>
        </w:rPr>
        <w:drawing>
          <wp:inline distT="0" distB="0" distL="0" distR="0" wp14:anchorId="1F8674A8" wp14:editId="51410AB5">
            <wp:extent cx="5943600" cy="4457700"/>
            <wp:effectExtent l="0" t="0" r="0" b="0"/>
            <wp:docPr id="1" name="Picture 1" descr="What you can't see on the UN maps of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you can't see on the UN maps of Ga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018384E" w14:textId="77777777" w:rsidR="0005258D" w:rsidRPr="0005258D" w:rsidRDefault="0005258D" w:rsidP="0005258D">
      <w:pPr>
        <w:rPr>
          <w:rFonts w:eastAsia="Times New Roman"/>
        </w:rPr>
      </w:pPr>
      <w:r w:rsidRPr="0005258D">
        <w:rPr>
          <w:rFonts w:ascii="Arial" w:eastAsia="Times New Roman" w:hAnsi="Arial" w:cs="Arial"/>
          <w:color w:val="404040"/>
          <w:sz w:val="20"/>
          <w:szCs w:val="20"/>
          <w:bdr w:val="none" w:sz="0" w:space="0" w:color="auto" w:frame="1"/>
          <w:shd w:val="clear" w:color="auto" w:fill="F1F1F1"/>
        </w:rPr>
        <w:t xml:space="preserve">What you </w:t>
      </w:r>
      <w:proofErr w:type="gramStart"/>
      <w:r w:rsidRPr="0005258D">
        <w:rPr>
          <w:rFonts w:ascii="Arial" w:eastAsia="Times New Roman" w:hAnsi="Arial" w:cs="Arial"/>
          <w:color w:val="404040"/>
          <w:sz w:val="20"/>
          <w:szCs w:val="20"/>
          <w:bdr w:val="none" w:sz="0" w:space="0" w:color="auto" w:frame="1"/>
          <w:shd w:val="clear" w:color="auto" w:fill="F1F1F1"/>
        </w:rPr>
        <w:t>can't</w:t>
      </w:r>
      <w:proofErr w:type="gramEnd"/>
      <w:r w:rsidRPr="0005258D">
        <w:rPr>
          <w:rFonts w:ascii="Arial" w:eastAsia="Times New Roman" w:hAnsi="Arial" w:cs="Arial"/>
          <w:color w:val="404040"/>
          <w:sz w:val="20"/>
          <w:szCs w:val="20"/>
          <w:bdr w:val="none" w:sz="0" w:space="0" w:color="auto" w:frame="1"/>
          <w:shd w:val="clear" w:color="auto" w:fill="F1F1F1"/>
        </w:rPr>
        <w:t xml:space="preserve"> see on the UN maps of Gaza</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05258D" w:rsidRPr="0005258D" w14:paraId="36E94696" w14:textId="77777777" w:rsidTr="0005258D">
        <w:tc>
          <w:tcPr>
            <w:tcW w:w="0" w:type="auto"/>
            <w:tcBorders>
              <w:top w:val="nil"/>
              <w:left w:val="nil"/>
              <w:bottom w:val="nil"/>
              <w:right w:val="nil"/>
            </w:tcBorders>
            <w:shd w:val="clear" w:color="auto" w:fill="FFFFFF"/>
            <w:vAlign w:val="bottom"/>
            <w:hideMark/>
          </w:tcPr>
          <w:p w14:paraId="1C34F6B5" w14:textId="77777777" w:rsidR="0005258D" w:rsidRPr="0005258D" w:rsidRDefault="0005258D" w:rsidP="0005258D">
            <w:pPr>
              <w:textAlignment w:val="baseline"/>
              <w:divId w:val="1982997568"/>
              <w:rPr>
                <w:rFonts w:ascii="Arial" w:eastAsia="Times New Roman" w:hAnsi="Arial" w:cs="Arial"/>
                <w:color w:val="404040"/>
                <w:sz w:val="21"/>
                <w:szCs w:val="21"/>
              </w:rPr>
            </w:pPr>
            <w:r w:rsidRPr="0005258D">
              <w:rPr>
                <w:rFonts w:ascii="Arial" w:eastAsia="Times New Roman" w:hAnsi="Arial" w:cs="Arial"/>
                <w:color w:val="404040"/>
                <w:sz w:val="18"/>
                <w:szCs w:val="18"/>
                <w:bdr w:val="none" w:sz="0" w:space="0" w:color="auto" w:frame="1"/>
                <w:shd w:val="clear" w:color="auto" w:fill="F1F1F1"/>
              </w:rPr>
              <w:t>Copyright: IDF Spokesperson</w:t>
            </w:r>
          </w:p>
        </w:tc>
      </w:tr>
    </w:tbl>
    <w:p w14:paraId="3334DA54" w14:textId="71465C08" w:rsidR="0005258D" w:rsidRDefault="0005258D">
      <w:pPr>
        <w:rPr>
          <w:rFonts w:ascii="Arial" w:hAnsi="Arial" w:cs="Arial"/>
          <w:b/>
          <w:bCs/>
          <w:color w:val="404040"/>
          <w:sz w:val="21"/>
          <w:szCs w:val="21"/>
          <w:bdr w:val="none" w:sz="0" w:space="0" w:color="auto" w:frame="1"/>
          <w:shd w:val="clear" w:color="auto" w:fill="FFFFFF"/>
        </w:rPr>
      </w:pPr>
      <w:r w:rsidRPr="0005258D">
        <w:rPr>
          <w:rFonts w:ascii="Arial" w:hAnsi="Arial" w:cs="Arial"/>
          <w:color w:val="404040"/>
          <w:sz w:val="21"/>
          <w:szCs w:val="21"/>
        </w:rPr>
        <w:br/>
      </w:r>
      <w:r w:rsidRPr="0005258D">
        <w:rPr>
          <w:rFonts w:ascii="Arial" w:hAnsi="Arial" w:cs="Arial"/>
          <w:color w:val="404040"/>
          <w:sz w:val="21"/>
          <w:szCs w:val="21"/>
        </w:rPr>
        <w:br/>
      </w:r>
      <w:r w:rsidRPr="0005258D">
        <w:rPr>
          <w:rFonts w:ascii="Arial" w:hAnsi="Arial" w:cs="Arial"/>
          <w:color w:val="404040"/>
          <w:sz w:val="21"/>
          <w:szCs w:val="21"/>
          <w:shd w:val="clear" w:color="auto" w:fill="FFFFFF"/>
        </w:rPr>
        <w:t>Last week, the </w:t>
      </w:r>
      <w:hyperlink r:id="rId7" w:tgtFrame="_blank" w:history="1">
        <w:r w:rsidRPr="0005258D">
          <w:rPr>
            <w:rFonts w:ascii="Arial" w:hAnsi="Arial" w:cs="Arial"/>
            <w:color w:val="0000FF"/>
            <w:sz w:val="21"/>
            <w:szCs w:val="21"/>
            <w:u w:val="single"/>
            <w:bdr w:val="none" w:sz="0" w:space="0" w:color="auto" w:frame="1"/>
            <w:shd w:val="clear" w:color="auto" w:fill="FFFFFF"/>
          </w:rPr>
          <w:t>UN published several maps</w:t>
        </w:r>
      </w:hyperlink>
      <w:r w:rsidRPr="0005258D">
        <w:rPr>
          <w:rFonts w:ascii="Arial" w:hAnsi="Arial" w:cs="Arial"/>
          <w:color w:val="404040"/>
          <w:sz w:val="21"/>
          <w:szCs w:val="21"/>
          <w:shd w:val="clear" w:color="auto" w:fill="FFFFFF"/>
        </w:rPr>
        <w:t> showing the aftermath of </w:t>
      </w:r>
      <w:hyperlink r:id="rId8" w:history="1">
        <w:r w:rsidRPr="0005258D">
          <w:rPr>
            <w:rFonts w:ascii="Arial" w:hAnsi="Arial" w:cs="Arial"/>
            <w:color w:val="0000FF"/>
            <w:sz w:val="21"/>
            <w:szCs w:val="21"/>
            <w:u w:val="single"/>
            <w:bdr w:val="none" w:sz="0" w:space="0" w:color="auto" w:frame="1"/>
            <w:shd w:val="clear" w:color="auto" w:fill="FFFFFF"/>
          </w:rPr>
          <w:t>Operation Protective Edge</w:t>
        </w:r>
      </w:hyperlink>
      <w:r w:rsidRPr="0005258D">
        <w:rPr>
          <w:rFonts w:ascii="Arial" w:hAnsi="Arial" w:cs="Arial"/>
          <w:color w:val="404040"/>
          <w:sz w:val="21"/>
          <w:szCs w:val="21"/>
          <w:shd w:val="clear" w:color="auto" w:fill="FFFFFF"/>
        </w:rPr>
        <w:t>. The maps mark damaged buildings with red dots scattered throughout Gaza. But these maps tell only half the story: </w:t>
      </w:r>
      <w:r w:rsidRPr="0005258D">
        <w:rPr>
          <w:rFonts w:ascii="Arial" w:hAnsi="Arial" w:cs="Arial"/>
          <w:b/>
          <w:bCs/>
          <w:color w:val="404040"/>
          <w:sz w:val="21"/>
          <w:szCs w:val="21"/>
          <w:bdr w:val="none" w:sz="0" w:space="0" w:color="auto" w:frame="1"/>
          <w:shd w:val="clear" w:color="auto" w:fill="FFFFFF"/>
        </w:rPr>
        <w:t>Hamas used many of these buildings - </w:t>
      </w:r>
      <w:hyperlink r:id="rId9" w:history="1">
        <w:r w:rsidRPr="0005258D">
          <w:rPr>
            <w:rFonts w:ascii="Arial" w:hAnsi="Arial" w:cs="Arial"/>
            <w:b/>
            <w:bCs/>
            <w:color w:val="0000FF"/>
            <w:sz w:val="21"/>
            <w:szCs w:val="21"/>
            <w:bdr w:val="none" w:sz="0" w:space="0" w:color="auto" w:frame="1"/>
            <w:shd w:val="clear" w:color="auto" w:fill="FFFFFF"/>
          </w:rPr>
          <w:t>including houses, hospitals and schools</w:t>
        </w:r>
      </w:hyperlink>
      <w:r w:rsidRPr="0005258D">
        <w:rPr>
          <w:rFonts w:ascii="Arial" w:hAnsi="Arial" w:cs="Arial"/>
          <w:b/>
          <w:bCs/>
          <w:color w:val="404040"/>
          <w:sz w:val="21"/>
          <w:szCs w:val="21"/>
          <w:bdr w:val="none" w:sz="0" w:space="0" w:color="auto" w:frame="1"/>
          <w:shd w:val="clear" w:color="auto" w:fill="FFFFFF"/>
        </w:rPr>
        <w:t> - as sites to launch rockets and carry out other attacks.</w:t>
      </w:r>
      <w:r w:rsidRPr="0005258D">
        <w:rPr>
          <w:rFonts w:ascii="Arial" w:hAnsi="Arial" w:cs="Arial"/>
          <w:color w:val="404040"/>
          <w:sz w:val="21"/>
          <w:szCs w:val="21"/>
        </w:rPr>
        <w:br/>
      </w:r>
      <w:r w:rsidRPr="0005258D">
        <w:rPr>
          <w:rFonts w:ascii="Arial" w:hAnsi="Arial" w:cs="Arial"/>
          <w:color w:val="404040"/>
          <w:sz w:val="21"/>
          <w:szCs w:val="21"/>
        </w:rPr>
        <w:lastRenderedPageBreak/>
        <w:br/>
      </w:r>
      <w:r w:rsidRPr="0005258D">
        <w:rPr>
          <w:rFonts w:ascii="Arial" w:hAnsi="Arial" w:cs="Arial"/>
          <w:color w:val="404040"/>
          <w:sz w:val="21"/>
          <w:szCs w:val="21"/>
          <w:shd w:val="clear" w:color="auto" w:fill="FFFFFF"/>
        </w:rPr>
        <w:t>In many cases, the IDF struck buildings in order to stop Hamas’ violence. This means that the red dots on the UN’s maps represent more than destruction. They show the many cases in which </w:t>
      </w:r>
      <w:r w:rsidRPr="0005258D">
        <w:rPr>
          <w:rFonts w:ascii="Arial" w:hAnsi="Arial" w:cs="Arial"/>
          <w:b/>
          <w:bCs/>
          <w:color w:val="404040"/>
          <w:sz w:val="21"/>
          <w:szCs w:val="21"/>
          <w:bdr w:val="none" w:sz="0" w:space="0" w:color="auto" w:frame="1"/>
          <w:shd w:val="clear" w:color="auto" w:fill="FFFFFF"/>
        </w:rPr>
        <w:t>terrorists attacked Israel from heavily populated areas in Gaza.</w:t>
      </w:r>
    </w:p>
    <w:p w14:paraId="3E6C0590" w14:textId="511E4020" w:rsidR="0005258D" w:rsidRDefault="0005258D">
      <w:pPr>
        <w:rPr>
          <w:rFonts w:ascii="Arial" w:hAnsi="Arial" w:cs="Arial"/>
          <w:b/>
          <w:bCs/>
          <w:color w:val="404040"/>
          <w:sz w:val="21"/>
          <w:szCs w:val="21"/>
          <w:bdr w:val="none" w:sz="0" w:space="0" w:color="auto" w:frame="1"/>
          <w:shd w:val="clear" w:color="auto" w:fill="FFFFFF"/>
        </w:rPr>
      </w:pPr>
    </w:p>
    <w:p w14:paraId="108EEB29" w14:textId="26662092" w:rsidR="0005258D" w:rsidRDefault="0005258D">
      <w:r>
        <w:t xml:space="preserve">[EMBEDDED VIDEO: </w:t>
      </w:r>
      <w:hyperlink r:id="rId10" w:history="1">
        <w:r w:rsidR="00C43EBD">
          <w:rPr>
            <w:rStyle w:val="Hyperlink"/>
          </w:rPr>
          <w:t>http://humanrightsvoices.org/site/documents/?d=21809&amp;id=25093</w:t>
        </w:r>
      </w:hyperlink>
      <w:r>
        <w:t>]</w:t>
      </w:r>
    </w:p>
    <w:p w14:paraId="469E363D" w14:textId="676A0636" w:rsidR="0005258D" w:rsidRDefault="0005258D"/>
    <w:p w14:paraId="697D2EE4" w14:textId="78D6C83F" w:rsidR="0005258D" w:rsidRDefault="0005258D">
      <w:pPr>
        <w:rPr>
          <w:rStyle w:val="Strong"/>
          <w:rFonts w:ascii="Arial" w:hAnsi="Arial" w:cs="Arial"/>
          <w:color w:val="404040"/>
          <w:sz w:val="21"/>
          <w:szCs w:val="21"/>
          <w:bdr w:val="none" w:sz="0" w:space="0" w:color="auto" w:frame="1"/>
          <w:shd w:val="clear" w:color="auto" w:fill="FFFFFF"/>
        </w:rPr>
      </w:pPr>
      <w:proofErr w:type="spellStart"/>
      <w:r>
        <w:rPr>
          <w:rStyle w:val="Strong"/>
          <w:rFonts w:ascii="Arial" w:hAnsi="Arial" w:cs="Arial"/>
          <w:color w:val="404040"/>
          <w:sz w:val="21"/>
          <w:szCs w:val="21"/>
          <w:bdr w:val="none" w:sz="0" w:space="0" w:color="auto" w:frame="1"/>
          <w:shd w:val="clear" w:color="auto" w:fill="FFFFFF"/>
        </w:rPr>
        <w:t>Shuja'iya</w:t>
      </w:r>
      <w:proofErr w:type="spellEnd"/>
      <w:r>
        <w:rPr>
          <w:rStyle w:val="Strong"/>
          <w:rFonts w:ascii="Arial" w:hAnsi="Arial" w:cs="Arial"/>
          <w:color w:val="404040"/>
          <w:sz w:val="21"/>
          <w:szCs w:val="21"/>
          <w:bdr w:val="none" w:sz="0" w:space="0" w:color="auto" w:frame="1"/>
          <w:shd w:val="clear" w:color="auto" w:fill="FFFFFF"/>
        </w:rPr>
        <w:t xml:space="preserve"> comparison: IDF target map and UN map - The areas damaged in </w:t>
      </w:r>
      <w:proofErr w:type="spellStart"/>
      <w:r>
        <w:rPr>
          <w:rStyle w:val="Strong"/>
          <w:rFonts w:ascii="Arial" w:hAnsi="Arial" w:cs="Arial"/>
          <w:color w:val="404040"/>
          <w:sz w:val="21"/>
          <w:szCs w:val="21"/>
          <w:bdr w:val="none" w:sz="0" w:space="0" w:color="auto" w:frame="1"/>
          <w:shd w:val="clear" w:color="auto" w:fill="FFFFFF"/>
        </w:rPr>
        <w:t>Shuja'iya</w:t>
      </w:r>
      <w:proofErr w:type="spellEnd"/>
      <w:r>
        <w:rPr>
          <w:rStyle w:val="Strong"/>
          <w:rFonts w:ascii="Arial" w:hAnsi="Arial" w:cs="Arial"/>
          <w:color w:val="404040"/>
          <w:sz w:val="21"/>
          <w:szCs w:val="21"/>
          <w:bdr w:val="none" w:sz="0" w:space="0" w:color="auto" w:frame="1"/>
          <w:shd w:val="clear" w:color="auto" w:fill="FFFFFF"/>
        </w:rPr>
        <w:t xml:space="preserve"> were used to attack Israel</w:t>
      </w:r>
      <w:r>
        <w:rPr>
          <w:rFonts w:ascii="Arial" w:hAnsi="Arial" w:cs="Arial"/>
          <w:b/>
          <w:bCs/>
          <w:color w:val="404040"/>
          <w:sz w:val="21"/>
          <w:szCs w:val="21"/>
          <w:bdr w:val="none" w:sz="0" w:space="0" w:color="auto" w:frame="1"/>
          <w:shd w:val="clear" w:color="auto" w:fill="FFFFFF"/>
        </w:rPr>
        <w:br/>
      </w:r>
      <w:r>
        <w:rPr>
          <w:rStyle w:val="Strong"/>
          <w:rFonts w:ascii="Arial" w:hAnsi="Arial" w:cs="Arial"/>
          <w:color w:val="404040"/>
          <w:sz w:val="21"/>
          <w:szCs w:val="21"/>
          <w:bdr w:val="none" w:sz="0" w:space="0" w:color="auto" w:frame="1"/>
          <w:shd w:val="clear" w:color="auto" w:fill="FFFFFF"/>
        </w:rPr>
        <w:t>(August 5, 2014)</w:t>
      </w:r>
    </w:p>
    <w:p w14:paraId="62CD24A0" w14:textId="7303052F" w:rsidR="0005258D" w:rsidRDefault="0005258D">
      <w:pPr>
        <w:rPr>
          <w:rStyle w:val="Strong"/>
          <w:rFonts w:ascii="Arial" w:hAnsi="Arial" w:cs="Arial"/>
          <w:color w:val="404040"/>
          <w:sz w:val="21"/>
          <w:szCs w:val="21"/>
          <w:bdr w:val="none" w:sz="0" w:space="0" w:color="auto" w:frame="1"/>
          <w:shd w:val="clear" w:color="auto" w:fill="FFFFFF"/>
        </w:rPr>
      </w:pPr>
    </w:p>
    <w:p w14:paraId="55EACDF7" w14:textId="5EFD2814" w:rsidR="0005258D" w:rsidRDefault="0005258D">
      <w:r>
        <w:rPr>
          <w:noProof/>
        </w:rPr>
        <w:drawing>
          <wp:inline distT="0" distB="0" distL="0" distR="0" wp14:anchorId="20FAC1B2" wp14:editId="40823A23">
            <wp:extent cx="4762500" cy="621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6216650"/>
                    </a:xfrm>
                    <a:prstGeom prst="rect">
                      <a:avLst/>
                    </a:prstGeom>
                    <a:noFill/>
                    <a:ln>
                      <a:noFill/>
                    </a:ln>
                  </pic:spPr>
                </pic:pic>
              </a:graphicData>
            </a:graphic>
          </wp:inline>
        </w:drawing>
      </w:r>
    </w:p>
    <w:sectPr w:rsidR="0005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F"/>
    <w:rsid w:val="0005258D"/>
    <w:rsid w:val="001A67D3"/>
    <w:rsid w:val="001D256F"/>
    <w:rsid w:val="00C4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17FA"/>
  <w15:chartTrackingRefBased/>
  <w15:docId w15:val="{7D4384AB-E1ED-4D3F-9B5D-538C43CF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6F"/>
    <w:rPr>
      <w:color w:val="0563C1" w:themeColor="hyperlink"/>
      <w:u w:val="single"/>
    </w:rPr>
  </w:style>
  <w:style w:type="character" w:styleId="UnresolvedMention">
    <w:name w:val="Unresolved Mention"/>
    <w:basedOn w:val="DefaultParagraphFont"/>
    <w:uiPriority w:val="99"/>
    <w:semiHidden/>
    <w:unhideWhenUsed/>
    <w:rsid w:val="001D256F"/>
    <w:rPr>
      <w:color w:val="605E5C"/>
      <w:shd w:val="clear" w:color="auto" w:fill="E1DFDD"/>
    </w:rPr>
  </w:style>
  <w:style w:type="character" w:styleId="Strong">
    <w:name w:val="Strong"/>
    <w:basedOn w:val="DefaultParagraphFont"/>
    <w:uiPriority w:val="22"/>
    <w:qFormat/>
    <w:rsid w:val="00052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999">
      <w:bodyDiv w:val="1"/>
      <w:marLeft w:val="0"/>
      <w:marRight w:val="0"/>
      <w:marTop w:val="0"/>
      <w:marBottom w:val="0"/>
      <w:divBdr>
        <w:top w:val="none" w:sz="0" w:space="0" w:color="auto"/>
        <w:left w:val="none" w:sz="0" w:space="0" w:color="auto"/>
        <w:bottom w:val="none" w:sz="0" w:space="0" w:color="auto"/>
        <w:right w:val="none" w:sz="0" w:space="0" w:color="auto"/>
      </w:divBdr>
    </w:div>
    <w:div w:id="943656991">
      <w:bodyDiv w:val="1"/>
      <w:marLeft w:val="0"/>
      <w:marRight w:val="0"/>
      <w:marTop w:val="0"/>
      <w:marBottom w:val="0"/>
      <w:divBdr>
        <w:top w:val="none" w:sz="0" w:space="0" w:color="auto"/>
        <w:left w:val="none" w:sz="0" w:space="0" w:color="auto"/>
        <w:bottom w:val="none" w:sz="0" w:space="0" w:color="auto"/>
        <w:right w:val="none" w:sz="0" w:space="0" w:color="auto"/>
      </w:divBdr>
      <w:divsChild>
        <w:div w:id="1276254389">
          <w:marLeft w:val="0"/>
          <w:marRight w:val="0"/>
          <w:marTop w:val="0"/>
          <w:marBottom w:val="150"/>
          <w:divBdr>
            <w:top w:val="none" w:sz="0" w:space="0" w:color="auto"/>
            <w:left w:val="none" w:sz="0" w:space="0" w:color="auto"/>
            <w:bottom w:val="none" w:sz="0" w:space="0" w:color="auto"/>
            <w:right w:val="none" w:sz="0" w:space="0" w:color="auto"/>
          </w:divBdr>
          <w:divsChild>
            <w:div w:id="1982997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22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gov.il/MFA/ForeignPolicy/Pages/Israel-under-fire-Operation-Protective-Edge.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umanrightsvoices.org/site/documents/?d=21995&amp;id=252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humanrightsvoices.org/site/documents/?d=21807&amp;id=25091" TargetMode="External"/><Relationship Id="rId10" Type="http://schemas.openxmlformats.org/officeDocument/2006/relationships/hyperlink" Target="http://humanrightsvoices.org/site/documents/?d=21809&amp;id=25093" TargetMode="External"/><Relationship Id="rId4" Type="http://schemas.openxmlformats.org/officeDocument/2006/relationships/hyperlink" Target="https://mfa.gov.il/MFA/ForeignPolicy/Terrorism/Pages/What-you-cant-see-on-UN-maps-of-Gaza.aspx" TargetMode="External"/><Relationship Id="rId9" Type="http://schemas.openxmlformats.org/officeDocument/2006/relationships/hyperlink" Target="https://mfa.gov.il/MFA/ForeignPolicy/Terrorism/Pages/IDF-report-Hamas-illegally-used-civilian-infrastructure-during-Operation-Protective-Ed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2020-06-11T23:50:00Z</dcterms:created>
  <dcterms:modified xsi:type="dcterms:W3CDTF">2020-06-11T23:50:00Z</dcterms:modified>
</cp:coreProperties>
</file>