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7020"/>
        <w:gridCol w:w="2340"/>
      </w:tblGrid>
      <w:tr w:rsidR="009407BA" w:rsidRPr="009407BA" w:rsidTr="009407BA">
        <w:trPr>
          <w:tblCellSpacing w:w="0" w:type="dxa"/>
        </w:trPr>
        <w:tc>
          <w:tcPr>
            <w:tcW w:w="3750" w:type="pct"/>
            <w:shd w:val="clear" w:color="auto" w:fill="FFFFFF"/>
            <w:hideMark/>
          </w:tcPr>
          <w:p w:rsidR="009407BA" w:rsidRPr="009407BA" w:rsidRDefault="009407BA" w:rsidP="009407BA">
            <w:pPr>
              <w:spacing w:after="0" w:line="240" w:lineRule="auto"/>
              <w:rPr>
                <w:rFonts w:ascii="Times New Roman" w:eastAsia="Times New Roman" w:hAnsi="Times New Roman" w:cs="Times New Roman"/>
                <w:sz w:val="24"/>
                <w:szCs w:val="24"/>
              </w:rPr>
            </w:pPr>
            <w:r w:rsidRPr="009407BA">
              <w:rPr>
                <w:rFonts w:ascii="Times New Roman" w:eastAsia="Times New Roman" w:hAnsi="Times New Roman" w:cs="Times New Roman"/>
                <w:b/>
                <w:bCs/>
                <w:sz w:val="36"/>
                <w:szCs w:val="36"/>
              </w:rPr>
              <w:t>UNITED</w:t>
            </w:r>
            <w:r w:rsidRPr="009407BA">
              <w:rPr>
                <w:rFonts w:ascii="Times New Roman" w:eastAsia="Times New Roman" w:hAnsi="Times New Roman" w:cs="Times New Roman"/>
                <w:sz w:val="24"/>
                <w:szCs w:val="24"/>
              </w:rPr>
              <w:br/>
            </w:r>
            <w:r w:rsidRPr="009407BA">
              <w:rPr>
                <w:rFonts w:ascii="Times New Roman" w:eastAsia="Times New Roman" w:hAnsi="Times New Roman" w:cs="Times New Roman"/>
                <w:b/>
                <w:bCs/>
                <w:sz w:val="36"/>
                <w:szCs w:val="36"/>
              </w:rPr>
              <w:t>NATIONS</w:t>
            </w:r>
          </w:p>
        </w:tc>
        <w:tc>
          <w:tcPr>
            <w:tcW w:w="1250" w:type="pct"/>
            <w:shd w:val="clear" w:color="auto" w:fill="FFFFFF"/>
            <w:hideMark/>
          </w:tcPr>
          <w:p w:rsidR="009407BA" w:rsidRPr="009407BA" w:rsidRDefault="009407BA" w:rsidP="009407BA">
            <w:pPr>
              <w:spacing w:after="0" w:line="240" w:lineRule="auto"/>
              <w:jc w:val="center"/>
              <w:rPr>
                <w:rFonts w:ascii="Times New Roman" w:eastAsia="Times New Roman" w:hAnsi="Times New Roman" w:cs="Times New Roman"/>
                <w:sz w:val="24"/>
                <w:szCs w:val="24"/>
              </w:rPr>
            </w:pPr>
            <w:r w:rsidRPr="009407BA">
              <w:rPr>
                <w:rFonts w:ascii="Arial" w:eastAsia="Times New Roman" w:hAnsi="Arial" w:cs="Arial"/>
                <w:b/>
                <w:bCs/>
                <w:sz w:val="72"/>
                <w:szCs w:val="72"/>
              </w:rPr>
              <w:t>A</w:t>
            </w:r>
          </w:p>
        </w:tc>
      </w:tr>
    </w:tbl>
    <w:p w:rsidR="009407BA" w:rsidRPr="009407BA" w:rsidRDefault="009407BA" w:rsidP="009407BA">
      <w:pPr>
        <w:spacing w:after="0" w:line="240" w:lineRule="auto"/>
        <w:rPr>
          <w:rFonts w:ascii="Times New Roman" w:eastAsia="Times New Roman" w:hAnsi="Times New Roman" w:cs="Times New Roman"/>
          <w:sz w:val="24"/>
          <w:szCs w:val="24"/>
        </w:rPr>
      </w:pPr>
      <w:r w:rsidRPr="009407BA">
        <w:rPr>
          <w:rFonts w:ascii="Times New Roman" w:eastAsia="Times New Roman" w:hAnsi="Times New Roman" w:cs="Times New Roman"/>
          <w:sz w:val="24"/>
          <w:szCs w:val="24"/>
        </w:rPr>
        <w:pict>
          <v:rect id="_x0000_i1087" style="width:468pt;height:3.5pt" o:hrstd="t" o:hrnoshade="t" o:hr="t" fillcolor="teal" stroked="f"/>
        </w:pic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404"/>
        <w:gridCol w:w="4586"/>
        <w:gridCol w:w="3370"/>
      </w:tblGrid>
      <w:tr w:rsidR="009407BA" w:rsidRPr="009407BA" w:rsidTr="009407BA">
        <w:trPr>
          <w:tblCellSpacing w:w="0" w:type="dxa"/>
        </w:trPr>
        <w:tc>
          <w:tcPr>
            <w:tcW w:w="750" w:type="pct"/>
            <w:shd w:val="clear" w:color="auto" w:fill="FFFFFF"/>
            <w:hideMark/>
          </w:tcPr>
          <w:p w:rsidR="009407BA" w:rsidRPr="009407BA" w:rsidRDefault="009407BA" w:rsidP="009407BA">
            <w:pPr>
              <w:spacing w:after="0" w:line="240" w:lineRule="auto"/>
              <w:rPr>
                <w:rFonts w:ascii="Times New Roman" w:eastAsia="Times New Roman" w:hAnsi="Times New Roman" w:cs="Times New Roman"/>
                <w:sz w:val="24"/>
                <w:szCs w:val="24"/>
              </w:rPr>
            </w:pPr>
            <w:r w:rsidRPr="009407BA">
              <w:rPr>
                <w:rFonts w:ascii="Times New Roman" w:eastAsia="Times New Roman" w:hAnsi="Times New Roman" w:cs="Times New Roman"/>
                <w:noProof/>
                <w:sz w:val="24"/>
                <w:szCs w:val="24"/>
              </w:rPr>
              <w:drawing>
                <wp:inline distT="0" distB="0" distL="0" distR="0">
                  <wp:extent cx="689610" cy="583565"/>
                  <wp:effectExtent l="0" t="0" r="0" b="6985"/>
                  <wp:docPr id="16" name="Picture 16" descr="https://unispal.un.org/DPA/DPR/unispal.nsf/ba77eee37ce14d2085256068005052d7/$Body/0.3CAE?OpenElement&amp;FieldElemForm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unispal.un.org/DPA/DPR/unispal.nsf/ba77eee37ce14d2085256068005052d7/$Body/0.3CAE?OpenElement&amp;FieldElemForma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9610" cy="583565"/>
                          </a:xfrm>
                          <a:prstGeom prst="rect">
                            <a:avLst/>
                          </a:prstGeom>
                          <a:noFill/>
                          <a:ln>
                            <a:noFill/>
                          </a:ln>
                        </pic:spPr>
                      </pic:pic>
                    </a:graphicData>
                  </a:graphic>
                </wp:inline>
              </w:drawing>
            </w:r>
          </w:p>
        </w:tc>
        <w:tc>
          <w:tcPr>
            <w:tcW w:w="2450" w:type="pct"/>
            <w:shd w:val="clear" w:color="auto" w:fill="FFFFFF"/>
            <w:hideMark/>
          </w:tcPr>
          <w:p w:rsidR="009407BA" w:rsidRPr="009407BA" w:rsidRDefault="009407BA" w:rsidP="009407BA">
            <w:pPr>
              <w:spacing w:after="0" w:line="240" w:lineRule="auto"/>
              <w:ind w:left="2160"/>
              <w:rPr>
                <w:rFonts w:ascii="Times New Roman" w:eastAsia="Times New Roman" w:hAnsi="Times New Roman" w:cs="Times New Roman"/>
                <w:sz w:val="24"/>
                <w:szCs w:val="24"/>
              </w:rPr>
            </w:pPr>
            <w:r w:rsidRPr="009407BA">
              <w:rPr>
                <w:rFonts w:ascii="Arial" w:eastAsia="Times New Roman" w:hAnsi="Arial" w:cs="Arial"/>
                <w:b/>
                <w:bCs/>
                <w:sz w:val="36"/>
                <w:szCs w:val="36"/>
              </w:rPr>
              <w:t>General Assembly</w:t>
            </w:r>
          </w:p>
        </w:tc>
        <w:tc>
          <w:tcPr>
            <w:tcW w:w="1800" w:type="pct"/>
            <w:shd w:val="clear" w:color="auto" w:fill="FFFFFF"/>
            <w:hideMark/>
          </w:tcPr>
          <w:p w:rsidR="009407BA" w:rsidRPr="009407BA" w:rsidRDefault="009407BA" w:rsidP="009407BA">
            <w:pPr>
              <w:spacing w:after="0" w:line="240" w:lineRule="auto"/>
              <w:rPr>
                <w:rFonts w:ascii="Times New Roman" w:eastAsia="Times New Roman" w:hAnsi="Times New Roman" w:cs="Times New Roman"/>
                <w:sz w:val="24"/>
                <w:szCs w:val="24"/>
              </w:rPr>
            </w:pPr>
            <w:r w:rsidRPr="009407BA">
              <w:rPr>
                <w:rFonts w:ascii="Courier New" w:eastAsia="Times New Roman" w:hAnsi="Courier New" w:cs="Courier New"/>
                <w:sz w:val="24"/>
                <w:szCs w:val="24"/>
              </w:rPr>
              <w:t>Distr.</w:t>
            </w:r>
            <w:r w:rsidRPr="009407BA">
              <w:rPr>
                <w:rFonts w:ascii="Times New Roman" w:eastAsia="Times New Roman" w:hAnsi="Times New Roman" w:cs="Times New Roman"/>
                <w:sz w:val="24"/>
                <w:szCs w:val="24"/>
              </w:rPr>
              <w:br/>
            </w:r>
            <w:r w:rsidRPr="009407BA">
              <w:rPr>
                <w:rFonts w:ascii="Courier New" w:eastAsia="Times New Roman" w:hAnsi="Courier New" w:cs="Courier New"/>
                <w:sz w:val="24"/>
                <w:szCs w:val="24"/>
              </w:rPr>
              <w:t>GENERAL</w:t>
            </w:r>
          </w:p>
        </w:tc>
      </w:tr>
      <w:tr w:rsidR="009407BA" w:rsidRPr="009407BA" w:rsidTr="009407BA">
        <w:trPr>
          <w:tblCellSpacing w:w="0" w:type="dxa"/>
        </w:trPr>
        <w:tc>
          <w:tcPr>
            <w:tcW w:w="750" w:type="pct"/>
            <w:shd w:val="clear" w:color="auto" w:fill="FFFFFF"/>
            <w:hideMark/>
          </w:tcPr>
          <w:p w:rsidR="009407BA" w:rsidRPr="009407BA" w:rsidRDefault="009407BA" w:rsidP="009407BA">
            <w:pPr>
              <w:spacing w:after="0" w:line="240" w:lineRule="auto"/>
              <w:rPr>
                <w:rFonts w:ascii="Times New Roman" w:eastAsia="Times New Roman" w:hAnsi="Times New Roman" w:cs="Times New Roman"/>
                <w:sz w:val="24"/>
                <w:szCs w:val="24"/>
              </w:rPr>
            </w:pPr>
            <w:r w:rsidRPr="009407BA">
              <w:rPr>
                <w:rFonts w:ascii="Times New Roman" w:eastAsia="Times New Roman" w:hAnsi="Times New Roman" w:cs="Times New Roman"/>
                <w:noProof/>
                <w:sz w:val="24"/>
                <w:szCs w:val="24"/>
              </w:rPr>
              <w:drawing>
                <wp:inline distT="0" distB="0" distL="0" distR="0">
                  <wp:extent cx="6985" cy="6985"/>
                  <wp:effectExtent l="0" t="0" r="0" b="0"/>
                  <wp:docPr id="15" name="Picture 15" descr="https://unispal.un.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unispal.un.org/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tc>
        <w:tc>
          <w:tcPr>
            <w:tcW w:w="2450" w:type="pct"/>
            <w:shd w:val="clear" w:color="auto" w:fill="FFFFFF"/>
            <w:hideMark/>
          </w:tcPr>
          <w:p w:rsidR="009407BA" w:rsidRPr="009407BA" w:rsidRDefault="009407BA" w:rsidP="009407BA">
            <w:pPr>
              <w:spacing w:after="0" w:line="240" w:lineRule="auto"/>
              <w:rPr>
                <w:rFonts w:ascii="Times New Roman" w:eastAsia="Times New Roman" w:hAnsi="Times New Roman" w:cs="Times New Roman"/>
                <w:sz w:val="24"/>
                <w:szCs w:val="24"/>
              </w:rPr>
            </w:pPr>
            <w:r w:rsidRPr="009407BA">
              <w:rPr>
                <w:rFonts w:ascii="Times New Roman" w:eastAsia="Times New Roman" w:hAnsi="Times New Roman" w:cs="Times New Roman"/>
                <w:noProof/>
                <w:sz w:val="24"/>
                <w:szCs w:val="24"/>
              </w:rPr>
              <w:drawing>
                <wp:inline distT="0" distB="0" distL="0" distR="0">
                  <wp:extent cx="6985" cy="6985"/>
                  <wp:effectExtent l="0" t="0" r="0" b="0"/>
                  <wp:docPr id="14" name="Picture 14" descr="https://unispal.un.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unispal.un.org/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tc>
        <w:tc>
          <w:tcPr>
            <w:tcW w:w="1800" w:type="pct"/>
            <w:shd w:val="clear" w:color="auto" w:fill="FFFFFF"/>
            <w:hideMark/>
          </w:tcPr>
          <w:p w:rsidR="009407BA" w:rsidRPr="009407BA" w:rsidRDefault="009407BA" w:rsidP="009407BA">
            <w:pPr>
              <w:spacing w:after="0" w:line="240" w:lineRule="auto"/>
              <w:rPr>
                <w:rFonts w:ascii="Times New Roman" w:eastAsia="Times New Roman" w:hAnsi="Times New Roman" w:cs="Times New Roman"/>
                <w:sz w:val="24"/>
                <w:szCs w:val="24"/>
              </w:rPr>
            </w:pPr>
            <w:r w:rsidRPr="009407BA">
              <w:rPr>
                <w:rFonts w:ascii="Courier New" w:eastAsia="Times New Roman" w:hAnsi="Courier New" w:cs="Courier New"/>
                <w:sz w:val="24"/>
                <w:szCs w:val="24"/>
              </w:rPr>
              <w:t>A/AC.183/SR.309 (Resumption 1)</w:t>
            </w:r>
            <w:r w:rsidRPr="009407BA">
              <w:rPr>
                <w:rFonts w:ascii="Times New Roman" w:eastAsia="Times New Roman" w:hAnsi="Times New Roman" w:cs="Times New Roman"/>
                <w:sz w:val="24"/>
                <w:szCs w:val="24"/>
              </w:rPr>
              <w:br/>
            </w:r>
            <w:r w:rsidRPr="009407BA">
              <w:rPr>
                <w:rFonts w:ascii="Courier New" w:eastAsia="Times New Roman" w:hAnsi="Courier New" w:cs="Courier New"/>
                <w:sz w:val="24"/>
                <w:szCs w:val="24"/>
              </w:rPr>
              <w:t>30 September 2008</w:t>
            </w:r>
            <w:r w:rsidRPr="009407BA">
              <w:rPr>
                <w:rFonts w:ascii="Times New Roman" w:eastAsia="Times New Roman" w:hAnsi="Times New Roman" w:cs="Times New Roman"/>
                <w:sz w:val="24"/>
                <w:szCs w:val="24"/>
              </w:rPr>
              <w:br/>
            </w:r>
            <w:r w:rsidRPr="009407BA">
              <w:rPr>
                <w:rFonts w:ascii="Times New Roman" w:eastAsia="Times New Roman" w:hAnsi="Times New Roman" w:cs="Times New Roman"/>
                <w:sz w:val="24"/>
                <w:szCs w:val="24"/>
              </w:rPr>
              <w:br/>
            </w:r>
            <w:r w:rsidRPr="009407BA">
              <w:rPr>
                <w:rFonts w:ascii="Courier New" w:eastAsia="Times New Roman" w:hAnsi="Courier New" w:cs="Courier New"/>
                <w:sz w:val="24"/>
                <w:szCs w:val="24"/>
              </w:rPr>
              <w:t>Original: English</w:t>
            </w:r>
          </w:p>
        </w:tc>
      </w:tr>
      <w:tr w:rsidR="009407BA" w:rsidRPr="009407BA" w:rsidTr="009407BA">
        <w:trPr>
          <w:tblCellSpacing w:w="0" w:type="dxa"/>
        </w:trPr>
        <w:tc>
          <w:tcPr>
            <w:tcW w:w="5000" w:type="pct"/>
            <w:gridSpan w:val="3"/>
            <w:shd w:val="clear" w:color="auto" w:fill="FFFFFF"/>
            <w:hideMark/>
          </w:tcPr>
          <w:p w:rsidR="009407BA" w:rsidRPr="009407BA" w:rsidRDefault="009407BA" w:rsidP="009407BA">
            <w:pPr>
              <w:spacing w:after="0" w:line="240" w:lineRule="auto"/>
              <w:rPr>
                <w:rFonts w:ascii="Times New Roman" w:eastAsia="Times New Roman" w:hAnsi="Times New Roman" w:cs="Times New Roman"/>
                <w:sz w:val="24"/>
                <w:szCs w:val="24"/>
              </w:rPr>
            </w:pPr>
            <w:r w:rsidRPr="009407BA">
              <w:rPr>
                <w:rFonts w:ascii="Times New Roman" w:eastAsia="Times New Roman" w:hAnsi="Times New Roman" w:cs="Times New Roman"/>
                <w:sz w:val="24"/>
                <w:szCs w:val="24"/>
              </w:rPr>
              <w:pict>
                <v:rect id="_x0000_i1091" style="width:468pt;height:4.5pt" o:hrstd="t" o:hrnoshade="t" o:hr="t" fillcolor="teal" stroked="f"/>
              </w:pict>
            </w:r>
          </w:p>
        </w:tc>
      </w:tr>
    </w:tbl>
    <w:p w:rsidR="009407BA" w:rsidRPr="009407BA" w:rsidRDefault="009407BA" w:rsidP="009407BA">
      <w:pPr>
        <w:spacing w:after="0" w:line="240" w:lineRule="auto"/>
        <w:rPr>
          <w:rFonts w:ascii="Times New Roman" w:eastAsia="Times New Roman" w:hAnsi="Times New Roman" w:cs="Times New Roman"/>
          <w:sz w:val="24"/>
          <w:szCs w:val="24"/>
        </w:rPr>
      </w:pPr>
      <w:r w:rsidRPr="009407BA">
        <w:rPr>
          <w:rFonts w:ascii="Times New Roman" w:eastAsia="Times New Roman" w:hAnsi="Times New Roman" w:cs="Times New Roman"/>
          <w:b/>
          <w:bCs/>
          <w:color w:val="000000"/>
          <w:sz w:val="27"/>
          <w:szCs w:val="27"/>
          <w:shd w:val="clear" w:color="auto" w:fill="FFFFFF"/>
        </w:rPr>
        <w:t>Committee on the Exercise of the Inalienable Rights</w:t>
      </w:r>
      <w:r w:rsidRPr="009407BA">
        <w:rPr>
          <w:rFonts w:ascii="Times New Roman" w:eastAsia="Times New Roman" w:hAnsi="Times New Roman" w:cs="Times New Roman"/>
          <w:color w:val="000000"/>
          <w:sz w:val="27"/>
          <w:szCs w:val="27"/>
        </w:rPr>
        <w:br/>
      </w:r>
      <w:r w:rsidRPr="009407BA">
        <w:rPr>
          <w:rFonts w:ascii="Times New Roman" w:eastAsia="Times New Roman" w:hAnsi="Times New Roman" w:cs="Times New Roman"/>
          <w:b/>
          <w:bCs/>
          <w:color w:val="000000"/>
          <w:sz w:val="27"/>
          <w:szCs w:val="27"/>
          <w:shd w:val="clear" w:color="auto" w:fill="FFFFFF"/>
        </w:rPr>
        <w:t>of the Palestinian People</w:t>
      </w:r>
      <w:r w:rsidRPr="009407BA">
        <w:rPr>
          <w:rFonts w:ascii="Times New Roman" w:eastAsia="Times New Roman" w:hAnsi="Times New Roman" w:cs="Times New Roman"/>
          <w:color w:val="000000"/>
          <w:sz w:val="27"/>
          <w:szCs w:val="27"/>
        </w:rPr>
        <w:br/>
      </w:r>
      <w:r w:rsidRPr="009407BA">
        <w:rPr>
          <w:rFonts w:ascii="Times New Roman" w:eastAsia="Times New Roman" w:hAnsi="Times New Roman" w:cs="Times New Roman"/>
          <w:color w:val="000000"/>
          <w:sz w:val="27"/>
          <w:szCs w:val="27"/>
        </w:rPr>
        <w:br/>
      </w:r>
      <w:r w:rsidRPr="009407BA">
        <w:rPr>
          <w:rFonts w:ascii="Times New Roman" w:eastAsia="Times New Roman" w:hAnsi="Times New Roman" w:cs="Times New Roman"/>
          <w:color w:val="000000"/>
          <w:sz w:val="27"/>
          <w:szCs w:val="27"/>
        </w:rPr>
        <w:br/>
      </w:r>
      <w:r w:rsidRPr="009407BA">
        <w:rPr>
          <w:rFonts w:ascii="Times New Roman" w:eastAsia="Times New Roman" w:hAnsi="Times New Roman" w:cs="Times New Roman"/>
          <w:b/>
          <w:bCs/>
          <w:color w:val="000000"/>
          <w:sz w:val="27"/>
          <w:szCs w:val="27"/>
          <w:shd w:val="clear" w:color="auto" w:fill="FFFFFF"/>
        </w:rPr>
        <w:t>Special meeting to mark sixty years of dispossession </w:t>
      </w:r>
      <w:r w:rsidRPr="009407BA">
        <w:rPr>
          <w:rFonts w:ascii="Times New Roman" w:eastAsia="Times New Roman" w:hAnsi="Times New Roman" w:cs="Times New Roman"/>
          <w:color w:val="000000"/>
          <w:sz w:val="27"/>
          <w:szCs w:val="27"/>
        </w:rPr>
        <w:br/>
      </w:r>
      <w:r w:rsidRPr="009407BA">
        <w:rPr>
          <w:rFonts w:ascii="Times New Roman" w:eastAsia="Times New Roman" w:hAnsi="Times New Roman" w:cs="Times New Roman"/>
          <w:b/>
          <w:bCs/>
          <w:color w:val="000000"/>
          <w:sz w:val="27"/>
          <w:szCs w:val="27"/>
          <w:shd w:val="clear" w:color="auto" w:fill="FFFFFF"/>
        </w:rPr>
        <w:t>of Palestine refugees</w:t>
      </w:r>
      <w:r w:rsidRPr="009407BA">
        <w:rPr>
          <w:rFonts w:ascii="Times New Roman" w:eastAsia="Times New Roman" w:hAnsi="Times New Roman" w:cs="Times New Roman"/>
          <w:color w:val="000000"/>
          <w:sz w:val="27"/>
          <w:szCs w:val="27"/>
        </w:rPr>
        <w:br/>
      </w:r>
      <w:r w:rsidRPr="009407BA">
        <w:rPr>
          <w:rFonts w:ascii="Times New Roman" w:eastAsia="Times New Roman" w:hAnsi="Times New Roman" w:cs="Times New Roman"/>
          <w:color w:val="000000"/>
          <w:sz w:val="27"/>
          <w:szCs w:val="27"/>
        </w:rPr>
        <w:br/>
      </w:r>
      <w:r w:rsidRPr="009407BA">
        <w:rPr>
          <w:rFonts w:ascii="Times New Roman" w:eastAsia="Times New Roman" w:hAnsi="Times New Roman" w:cs="Times New Roman"/>
          <w:b/>
          <w:bCs/>
          <w:color w:val="000000"/>
          <w:sz w:val="27"/>
          <w:szCs w:val="27"/>
          <w:shd w:val="clear" w:color="auto" w:fill="FFFFFF"/>
        </w:rPr>
        <w:t>Summary record of the second part of the 309th meeting</w:t>
      </w:r>
      <w:r w:rsidRPr="009407BA">
        <w:rPr>
          <w:rFonts w:ascii="Times New Roman" w:eastAsia="Times New Roman" w:hAnsi="Times New Roman" w:cs="Times New Roman"/>
          <w:color w:val="000000"/>
          <w:sz w:val="27"/>
          <w:szCs w:val="27"/>
        </w:rPr>
        <w:br/>
      </w:r>
      <w:r w:rsidRPr="009407BA">
        <w:rPr>
          <w:rFonts w:ascii="Times New Roman" w:eastAsia="Times New Roman" w:hAnsi="Times New Roman" w:cs="Times New Roman"/>
          <w:color w:val="000000"/>
          <w:sz w:val="27"/>
          <w:szCs w:val="27"/>
          <w:shd w:val="clear" w:color="auto" w:fill="FFFFFF"/>
        </w:rPr>
        <w:t>Held at Headquarters, New York, on Friday, 20 June 2008, at 3 p.m.</w:t>
      </w:r>
      <w:r w:rsidRPr="009407BA">
        <w:rPr>
          <w:rFonts w:ascii="Times New Roman" w:eastAsia="Times New Roman" w:hAnsi="Times New Roman" w:cs="Times New Roman"/>
          <w:color w:val="000000"/>
          <w:sz w:val="36"/>
          <w:szCs w:val="36"/>
          <w:shd w:val="clear" w:color="auto" w:fill="FFFFFF"/>
        </w:rPr>
        <w:t> </w:t>
      </w:r>
      <w:r w:rsidRPr="009407BA">
        <w:rPr>
          <w:rFonts w:ascii="Times New Roman" w:eastAsia="Times New Roman" w:hAnsi="Times New Roman" w:cs="Times New Roman"/>
          <w:color w:val="000000"/>
          <w:sz w:val="27"/>
          <w:szCs w:val="27"/>
        </w:rPr>
        <w:br/>
      </w:r>
      <w:r w:rsidRPr="009407BA">
        <w:rPr>
          <w:rFonts w:ascii="Times New Roman" w:eastAsia="Times New Roman" w:hAnsi="Times New Roman" w:cs="Times New Roman"/>
          <w:color w:val="000000"/>
          <w:sz w:val="27"/>
          <w:szCs w:val="27"/>
        </w:rPr>
        <w:br/>
      </w:r>
      <w:r w:rsidRPr="009407BA">
        <w:rPr>
          <w:rFonts w:ascii="Times New Roman" w:eastAsia="Times New Roman" w:hAnsi="Times New Roman" w:cs="Times New Roman"/>
          <w:i/>
          <w:iCs/>
          <w:color w:val="000000"/>
          <w:sz w:val="27"/>
          <w:szCs w:val="27"/>
          <w:shd w:val="clear" w:color="auto" w:fill="FFFFFF"/>
        </w:rPr>
        <w:t>Chairman</w:t>
      </w:r>
      <w:r w:rsidRPr="009407BA">
        <w:rPr>
          <w:rFonts w:ascii="Times New Roman" w:eastAsia="Times New Roman" w:hAnsi="Times New Roman" w:cs="Times New Roman"/>
          <w:color w:val="000000"/>
          <w:sz w:val="27"/>
          <w:szCs w:val="27"/>
          <w:shd w:val="clear" w:color="auto" w:fill="FFFFFF"/>
        </w:rPr>
        <w:t>: Mr. Badji (Senegal)</w:t>
      </w:r>
      <w:r w:rsidRPr="009407BA">
        <w:rPr>
          <w:rFonts w:ascii="Times New Roman" w:eastAsia="Times New Roman" w:hAnsi="Times New Roman" w:cs="Times New Roman"/>
          <w:color w:val="000000"/>
          <w:sz w:val="27"/>
          <w:szCs w:val="27"/>
        </w:rPr>
        <w:br/>
      </w:r>
      <w:r w:rsidRPr="009407BA">
        <w:rPr>
          <w:rFonts w:ascii="Times New Roman" w:eastAsia="Times New Roman" w:hAnsi="Times New Roman" w:cs="Times New Roman"/>
          <w:color w:val="000000"/>
          <w:sz w:val="27"/>
          <w:szCs w:val="27"/>
        </w:rPr>
        <w:br/>
      </w:r>
      <w:r w:rsidRPr="009407BA">
        <w:rPr>
          <w:rFonts w:ascii="Times New Roman" w:eastAsia="Times New Roman" w:hAnsi="Times New Roman" w:cs="Times New Roman"/>
          <w:color w:val="000000"/>
          <w:sz w:val="27"/>
          <w:szCs w:val="27"/>
        </w:rPr>
        <w:br/>
      </w:r>
      <w:r w:rsidRPr="009407BA">
        <w:rPr>
          <w:rFonts w:ascii="Times New Roman" w:eastAsia="Times New Roman" w:hAnsi="Times New Roman" w:cs="Times New Roman"/>
          <w:color w:val="000000"/>
          <w:sz w:val="27"/>
          <w:szCs w:val="27"/>
        </w:rPr>
        <w:br/>
      </w:r>
      <w:r w:rsidRPr="009407BA">
        <w:rPr>
          <w:rFonts w:ascii="Times New Roman" w:eastAsia="Times New Roman" w:hAnsi="Times New Roman" w:cs="Times New Roman"/>
          <w:b/>
          <w:bCs/>
          <w:color w:val="000000"/>
          <w:sz w:val="27"/>
          <w:szCs w:val="27"/>
          <w:shd w:val="clear" w:color="auto" w:fill="FFFFFF"/>
        </w:rPr>
        <w:t>Contents</w:t>
      </w:r>
      <w:r w:rsidRPr="009407BA">
        <w:rPr>
          <w:rFonts w:ascii="Times New Roman" w:eastAsia="Times New Roman" w:hAnsi="Times New Roman" w:cs="Times New Roman"/>
          <w:color w:val="000000"/>
          <w:sz w:val="27"/>
          <w:szCs w:val="27"/>
        </w:rPr>
        <w:br/>
      </w:r>
      <w:r w:rsidRPr="009407BA">
        <w:rPr>
          <w:rFonts w:ascii="Times New Roman" w:eastAsia="Times New Roman" w:hAnsi="Times New Roman" w:cs="Times New Roman"/>
          <w:color w:val="000000"/>
          <w:sz w:val="27"/>
          <w:szCs w:val="27"/>
        </w:rPr>
        <w:br/>
      </w:r>
      <w:r w:rsidRPr="009407BA">
        <w:rPr>
          <w:rFonts w:ascii="Times New Roman" w:eastAsia="Times New Roman" w:hAnsi="Times New Roman" w:cs="Times New Roman"/>
          <w:color w:val="000000"/>
          <w:sz w:val="27"/>
          <w:szCs w:val="27"/>
          <w:shd w:val="clear" w:color="auto" w:fill="FFFFFF"/>
        </w:rPr>
        <w:t>Statements by experts</w:t>
      </w:r>
      <w:r w:rsidRPr="009407BA">
        <w:rPr>
          <w:rFonts w:ascii="Times New Roman" w:eastAsia="Times New Roman" w:hAnsi="Times New Roman" w:cs="Times New Roman"/>
          <w:color w:val="000000"/>
          <w:sz w:val="27"/>
          <w:szCs w:val="27"/>
        </w:rPr>
        <w:br/>
      </w:r>
      <w:r w:rsidRPr="009407BA">
        <w:rPr>
          <w:rFonts w:ascii="Times New Roman" w:eastAsia="Times New Roman" w:hAnsi="Times New Roman" w:cs="Times New Roman"/>
          <w:color w:val="000000"/>
          <w:sz w:val="27"/>
          <w:szCs w:val="27"/>
          <w:shd w:val="clear" w:color="auto" w:fill="FFFFFF"/>
        </w:rPr>
        <w:t>Closing remarks by the Chairman of the Committee</w:t>
      </w:r>
    </w:p>
    <w:p w:rsidR="009407BA" w:rsidRPr="009407BA" w:rsidRDefault="009407BA" w:rsidP="009407BA">
      <w:pPr>
        <w:spacing w:after="0" w:line="240" w:lineRule="auto"/>
        <w:rPr>
          <w:rFonts w:ascii="Times New Roman" w:eastAsia="Times New Roman" w:hAnsi="Times New Roman" w:cs="Times New Roman"/>
          <w:sz w:val="24"/>
          <w:szCs w:val="24"/>
        </w:rPr>
      </w:pPr>
      <w:r w:rsidRPr="009407BA">
        <w:rPr>
          <w:rFonts w:ascii="Times New Roman" w:eastAsia="Times New Roman" w:hAnsi="Times New Roman" w:cs="Times New Roman"/>
          <w:sz w:val="24"/>
          <w:szCs w:val="24"/>
        </w:rPr>
        <w:pict>
          <v:rect id="_x0000_i1092" style="width:468pt;height:1pt" o:hrstd="t" o:hrnoshade="t" o:hr="t" fillcolor="black" stroked="f"/>
        </w:pict>
      </w:r>
    </w:p>
    <w:p w:rsidR="009407BA" w:rsidRPr="009407BA" w:rsidRDefault="009407BA" w:rsidP="009407BA">
      <w:pPr>
        <w:spacing w:after="0" w:line="240" w:lineRule="auto"/>
        <w:rPr>
          <w:rFonts w:ascii="Times New Roman" w:eastAsia="Times New Roman" w:hAnsi="Times New Roman" w:cs="Times New Roman"/>
          <w:sz w:val="24"/>
          <w:szCs w:val="24"/>
        </w:rPr>
      </w:pPr>
      <w:r w:rsidRPr="009407BA">
        <w:rPr>
          <w:rFonts w:ascii="Times New Roman" w:eastAsia="Times New Roman" w:hAnsi="Times New Roman" w:cs="Times New Roman"/>
          <w:color w:val="000000"/>
          <w:sz w:val="27"/>
          <w:szCs w:val="27"/>
        </w:rPr>
        <w:br/>
      </w:r>
    </w:p>
    <w:p w:rsidR="009407BA" w:rsidRPr="009407BA" w:rsidRDefault="009407BA" w:rsidP="009407B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9407BA">
        <w:rPr>
          <w:rFonts w:ascii="Times New Roman" w:eastAsia="Times New Roman" w:hAnsi="Times New Roman" w:cs="Times New Roman"/>
          <w:i/>
          <w:iCs/>
          <w:color w:val="000000"/>
          <w:sz w:val="27"/>
          <w:szCs w:val="27"/>
        </w:rPr>
        <w:t>The meeting reconvened at 3.15 p.m.</w:t>
      </w:r>
      <w:r w:rsidRPr="009407BA">
        <w:rPr>
          <w:rFonts w:ascii="Times New Roman" w:eastAsia="Times New Roman" w:hAnsi="Times New Roman" w:cs="Times New Roman"/>
          <w:color w:val="000000"/>
          <w:sz w:val="27"/>
          <w:szCs w:val="27"/>
        </w:rPr>
        <w:br/>
      </w:r>
      <w:r w:rsidRPr="009407BA">
        <w:rPr>
          <w:rFonts w:ascii="Times New Roman" w:eastAsia="Times New Roman" w:hAnsi="Times New Roman" w:cs="Times New Roman"/>
          <w:color w:val="000000"/>
          <w:sz w:val="27"/>
          <w:szCs w:val="27"/>
        </w:rPr>
        <w:br/>
      </w:r>
      <w:r w:rsidRPr="009407BA">
        <w:rPr>
          <w:rFonts w:ascii="Times New Roman" w:eastAsia="Times New Roman" w:hAnsi="Times New Roman" w:cs="Times New Roman"/>
          <w:color w:val="000000"/>
          <w:sz w:val="27"/>
          <w:szCs w:val="27"/>
        </w:rPr>
        <w:br/>
      </w:r>
      <w:r w:rsidRPr="009407BA">
        <w:rPr>
          <w:rFonts w:ascii="Times New Roman" w:eastAsia="Times New Roman" w:hAnsi="Times New Roman" w:cs="Times New Roman"/>
          <w:b/>
          <w:bCs/>
          <w:color w:val="000000"/>
          <w:sz w:val="27"/>
          <w:szCs w:val="27"/>
        </w:rPr>
        <w:t>Statements by experts </w:t>
      </w:r>
    </w:p>
    <w:p w:rsidR="009407BA" w:rsidRPr="009407BA" w:rsidRDefault="009407BA" w:rsidP="009407B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9407BA">
        <w:rPr>
          <w:rFonts w:ascii="Times New Roman" w:eastAsia="Times New Roman" w:hAnsi="Times New Roman" w:cs="Times New Roman"/>
          <w:color w:val="000000"/>
          <w:sz w:val="27"/>
          <w:szCs w:val="27"/>
        </w:rPr>
        <w:t>76. </w:t>
      </w:r>
      <w:r w:rsidRPr="009407BA">
        <w:rPr>
          <w:rFonts w:ascii="Times New Roman" w:eastAsia="Times New Roman" w:hAnsi="Times New Roman" w:cs="Times New Roman"/>
          <w:i/>
          <w:iCs/>
          <w:color w:val="000000"/>
          <w:sz w:val="27"/>
          <w:szCs w:val="27"/>
        </w:rPr>
        <w:t>At the invitation of the Chairman, Ms. Atshan (Birzeit University) took a place at the Committee table </w:t>
      </w:r>
      <w:r w:rsidRPr="009407BA">
        <w:rPr>
          <w:rFonts w:ascii="Times New Roman" w:eastAsia="Times New Roman" w:hAnsi="Times New Roman" w:cs="Times New Roman"/>
          <w:color w:val="000000"/>
          <w:sz w:val="27"/>
          <w:szCs w:val="27"/>
        </w:rPr>
        <w:t>.</w:t>
      </w:r>
    </w:p>
    <w:p w:rsidR="009407BA" w:rsidRPr="009407BA" w:rsidRDefault="009407BA" w:rsidP="009407B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9407BA">
        <w:rPr>
          <w:rFonts w:ascii="Times New Roman" w:eastAsia="Times New Roman" w:hAnsi="Times New Roman" w:cs="Times New Roman"/>
          <w:color w:val="000000"/>
          <w:sz w:val="27"/>
          <w:szCs w:val="27"/>
        </w:rPr>
        <w:lastRenderedPageBreak/>
        <w:t>77. </w:t>
      </w:r>
      <w:r w:rsidRPr="009407BA">
        <w:rPr>
          <w:rFonts w:ascii="Times New Roman" w:eastAsia="Times New Roman" w:hAnsi="Times New Roman" w:cs="Times New Roman"/>
          <w:b/>
          <w:bCs/>
          <w:color w:val="000000"/>
          <w:sz w:val="27"/>
          <w:szCs w:val="27"/>
        </w:rPr>
        <w:t>Ms. Atshan</w:t>
      </w:r>
      <w:r w:rsidRPr="009407BA">
        <w:rPr>
          <w:rFonts w:ascii="Times New Roman" w:eastAsia="Times New Roman" w:hAnsi="Times New Roman" w:cs="Times New Roman"/>
          <w:color w:val="000000"/>
          <w:sz w:val="27"/>
          <w:szCs w:val="27"/>
        </w:rPr>
        <w:t> (Birzeit University) gave a brief account of her personal experience as a refugee, which informed her work as a psychologist and field consultant with refugees in the Occupied Palestinian Territory and in Denmark. She said that in a sense, all Palestinians, whether they lived in villages, cities or camps, faced a reality of confinement and could therefore be considered refugees; their freedom of movement was regulated by the Israeli authorities so long as they chose to remain at home, forcing them to opt for exile if they wished to circulate freely.</w:t>
      </w:r>
    </w:p>
    <w:p w:rsidR="009407BA" w:rsidRPr="009407BA" w:rsidRDefault="009407BA" w:rsidP="009407B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9407BA">
        <w:rPr>
          <w:rFonts w:ascii="Times New Roman" w:eastAsia="Times New Roman" w:hAnsi="Times New Roman" w:cs="Times New Roman"/>
          <w:color w:val="000000"/>
          <w:sz w:val="27"/>
          <w:szCs w:val="27"/>
        </w:rPr>
        <w:t>78. Through interviews with refugees, she had gleaned a number of insights into the daily reality of camp life. The fact that the number of camp residents had multiplied since 1948 while the physical area of the camps had remained the same had resulted in serious spatial restrictions, children had no real place to play, and privacy was virtually non-existent.</w:t>
      </w:r>
    </w:p>
    <w:p w:rsidR="009407BA" w:rsidRPr="009407BA" w:rsidRDefault="009407BA" w:rsidP="009407B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9407BA">
        <w:rPr>
          <w:rFonts w:ascii="Times New Roman" w:eastAsia="Times New Roman" w:hAnsi="Times New Roman" w:cs="Times New Roman"/>
          <w:color w:val="000000"/>
          <w:sz w:val="27"/>
          <w:szCs w:val="27"/>
        </w:rPr>
        <w:t>79. Another issue of concern was the fact that Palestine refugees, when aggressively targeted by the Israeli authorities, as had been the case during the recent intifada, were often forced to take on the responsibility of resistance, learning from a very young age to identify Israelis as the enemy. In that context, the reactive and often misdirected violence on the part of refugees during lulls in conflict, while problematic, was entirely understandable, coming from people who, as children, had had to assume such inordinate responsibility for defending their rights.</w:t>
      </w:r>
    </w:p>
    <w:p w:rsidR="009407BA" w:rsidRPr="009407BA" w:rsidRDefault="009407BA" w:rsidP="009407B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9407BA">
        <w:rPr>
          <w:rFonts w:ascii="Times New Roman" w:eastAsia="Times New Roman" w:hAnsi="Times New Roman" w:cs="Times New Roman"/>
          <w:color w:val="000000"/>
          <w:sz w:val="27"/>
          <w:szCs w:val="27"/>
        </w:rPr>
        <w:t>80. Refugee women had played a crucial role in keeping families together, showing great resourcefulness and resilience in finding employment in order to assist with economic responsibilities, while also absorbing the psychological stress caused by displacement, unemployment or the death of male family members. The undue burden placed on women in those circumstances was compounded by the pressures of being subject to both family demands and those imposed by the occupation authorities, all of which had detrimental effects on women’s mental health and overall quality of life.</w:t>
      </w:r>
    </w:p>
    <w:p w:rsidR="009407BA" w:rsidRPr="009407BA" w:rsidRDefault="009407BA" w:rsidP="009407B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9407BA">
        <w:rPr>
          <w:rFonts w:ascii="Times New Roman" w:eastAsia="Times New Roman" w:hAnsi="Times New Roman" w:cs="Times New Roman"/>
          <w:color w:val="000000"/>
          <w:sz w:val="27"/>
          <w:szCs w:val="27"/>
        </w:rPr>
        <w:t>81. It was important to assess the impact that dependency on United Nations assistance, however necessary such assistance had invariably been, had had on the ambitions and outlook for the future of three generations of refugees who had grown accustomed to living in survival mode, at the expense of normal human development. After 60 years of occupation, the situation only seemed to be getting worse, even as efforts to assist refugees had intensified. A qualitative shift in approach was needed, from the current, relief-oriented paradigm, to one that favoured empowerment and the promotion of rights, in order to allow refugees to assume an active role in rebuilding their lives.</w:t>
      </w:r>
    </w:p>
    <w:p w:rsidR="009407BA" w:rsidRPr="009407BA" w:rsidRDefault="009407BA" w:rsidP="009407B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9407BA">
        <w:rPr>
          <w:rFonts w:ascii="Times New Roman" w:eastAsia="Times New Roman" w:hAnsi="Times New Roman" w:cs="Times New Roman"/>
          <w:color w:val="000000"/>
          <w:sz w:val="27"/>
          <w:szCs w:val="27"/>
        </w:rPr>
        <w:t xml:space="preserve">82. The international community should take the opportunity afforded by the sixtieth anniversary commemoration of the Palestinian Nakba to reflect upon the orientation </w:t>
      </w:r>
      <w:r w:rsidRPr="009407BA">
        <w:rPr>
          <w:rFonts w:ascii="Times New Roman" w:eastAsia="Times New Roman" w:hAnsi="Times New Roman" w:cs="Times New Roman"/>
          <w:color w:val="000000"/>
          <w:sz w:val="27"/>
          <w:szCs w:val="27"/>
        </w:rPr>
        <w:lastRenderedPageBreak/>
        <w:t>of its refugee advocacy, bearing in mind its responsibility for the quality of human life, among such equally important considerations as the right of return, land and compensation.</w:t>
      </w:r>
    </w:p>
    <w:p w:rsidR="009407BA" w:rsidRPr="009407BA" w:rsidRDefault="009407BA" w:rsidP="009407B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9407BA">
        <w:rPr>
          <w:rFonts w:ascii="Times New Roman" w:eastAsia="Times New Roman" w:hAnsi="Times New Roman" w:cs="Times New Roman"/>
          <w:color w:val="000000"/>
          <w:sz w:val="27"/>
          <w:szCs w:val="27"/>
        </w:rPr>
        <w:t>83. </w:t>
      </w:r>
      <w:r w:rsidRPr="009407BA">
        <w:rPr>
          <w:rFonts w:ascii="Times New Roman" w:eastAsia="Times New Roman" w:hAnsi="Times New Roman" w:cs="Times New Roman"/>
          <w:i/>
          <w:iCs/>
          <w:color w:val="000000"/>
          <w:sz w:val="27"/>
          <w:szCs w:val="27"/>
        </w:rPr>
        <w:t>Ms. Atshan (Birzeit University) withdrew</w:t>
      </w:r>
      <w:r w:rsidRPr="009407BA">
        <w:rPr>
          <w:rFonts w:ascii="Times New Roman" w:eastAsia="Times New Roman" w:hAnsi="Times New Roman" w:cs="Times New Roman"/>
          <w:color w:val="000000"/>
          <w:sz w:val="27"/>
          <w:szCs w:val="27"/>
        </w:rPr>
        <w:t>.</w:t>
      </w:r>
    </w:p>
    <w:p w:rsidR="009407BA" w:rsidRPr="009407BA" w:rsidRDefault="009407BA" w:rsidP="009407B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9407BA">
        <w:rPr>
          <w:rFonts w:ascii="Times New Roman" w:eastAsia="Times New Roman" w:hAnsi="Times New Roman" w:cs="Times New Roman"/>
          <w:color w:val="000000"/>
          <w:sz w:val="27"/>
          <w:szCs w:val="27"/>
        </w:rPr>
        <w:t>84. </w:t>
      </w:r>
      <w:r w:rsidRPr="009407BA">
        <w:rPr>
          <w:rFonts w:ascii="Times New Roman" w:eastAsia="Times New Roman" w:hAnsi="Times New Roman" w:cs="Times New Roman"/>
          <w:i/>
          <w:iCs/>
          <w:color w:val="000000"/>
          <w:sz w:val="27"/>
          <w:szCs w:val="27"/>
        </w:rPr>
        <w:t>At the invitation of the Chairman, Ms. Akram (School of Law, Boston University) took a place at the Committee table </w:t>
      </w:r>
      <w:r w:rsidRPr="009407BA">
        <w:rPr>
          <w:rFonts w:ascii="Times New Roman" w:eastAsia="Times New Roman" w:hAnsi="Times New Roman" w:cs="Times New Roman"/>
          <w:color w:val="000000"/>
          <w:sz w:val="27"/>
          <w:szCs w:val="27"/>
        </w:rPr>
        <w:t>.</w:t>
      </w:r>
    </w:p>
    <w:p w:rsidR="009407BA" w:rsidRPr="009407BA" w:rsidRDefault="009407BA" w:rsidP="009407B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9407BA">
        <w:rPr>
          <w:rFonts w:ascii="Times New Roman" w:eastAsia="Times New Roman" w:hAnsi="Times New Roman" w:cs="Times New Roman"/>
          <w:color w:val="000000"/>
          <w:sz w:val="27"/>
          <w:szCs w:val="27"/>
        </w:rPr>
        <w:t>85. </w:t>
      </w:r>
      <w:r w:rsidRPr="009407BA">
        <w:rPr>
          <w:rFonts w:ascii="Times New Roman" w:eastAsia="Times New Roman" w:hAnsi="Times New Roman" w:cs="Times New Roman"/>
          <w:b/>
          <w:bCs/>
          <w:color w:val="000000"/>
          <w:sz w:val="27"/>
          <w:szCs w:val="27"/>
        </w:rPr>
        <w:t>Ms. Akram</w:t>
      </w:r>
      <w:r w:rsidRPr="009407BA">
        <w:rPr>
          <w:rFonts w:ascii="Times New Roman" w:eastAsia="Times New Roman" w:hAnsi="Times New Roman" w:cs="Times New Roman"/>
          <w:color w:val="000000"/>
          <w:sz w:val="27"/>
          <w:szCs w:val="27"/>
        </w:rPr>
        <w:t> (School of Law, Boston University), delivering a PowerPoint™ presentation, said that the State of Israel had, since its inception, put in place a legal mechanism for the confiscation and expropriation of Palestinian lands and property, a process which was continuing. When the United Nations partition plan had allocated 56 per cent of historic Palestine to a Jewish State, Jews had represented less than one third of the population and owned 6 per cent of the land. Following the 1948 war and subsequent expulsion or forced displacement of some 800,000 indigenous Palestinians, four main categories of law had actualized their dispossession.</w:t>
      </w:r>
    </w:p>
    <w:p w:rsidR="009407BA" w:rsidRPr="009407BA" w:rsidRDefault="009407BA" w:rsidP="009407B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9407BA">
        <w:rPr>
          <w:rFonts w:ascii="Times New Roman" w:eastAsia="Times New Roman" w:hAnsi="Times New Roman" w:cs="Times New Roman"/>
          <w:color w:val="000000"/>
          <w:sz w:val="27"/>
          <w:szCs w:val="27"/>
        </w:rPr>
        <w:t>86. At first, emergency regulations had been used to expel Arabs from their property and surrounding areas on the pretext of security. Once areas had been secured, the Israeli Government would declare the property abandoned or uncultivated, thereby permitting the State to permanently confiscate it, as in the cases of Iqrit and Kafr Bir’im. Kafr Bir’im was a Palestinian Christian village that had been established over 400 years earlier, and its inhabitants held property deeds that dated back to the Ottoman period. While their pre-1948 property ownership was not contested, their dispossession had begun following the 1948 cessation of hostilities, when the Israeli Defense Forces had ordered them to assemble in the community church and surrender their weapons. The villagers, who had not resisted, had later been forced to cross the border into Lebanon or relocate to the nearby village of Al-Jish. After several failed attempts by the villagers to obtain permission to use agricultural and church land, the Government had leased village land to Jewish agricultural companies.</w:t>
      </w:r>
    </w:p>
    <w:p w:rsidR="009407BA" w:rsidRPr="009407BA" w:rsidRDefault="009407BA" w:rsidP="009407B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9407BA">
        <w:rPr>
          <w:rFonts w:ascii="Times New Roman" w:eastAsia="Times New Roman" w:hAnsi="Times New Roman" w:cs="Times New Roman"/>
          <w:color w:val="000000"/>
          <w:sz w:val="27"/>
          <w:szCs w:val="27"/>
        </w:rPr>
        <w:t>87.87. Under emergency regulations, the military Government had legalized the expulsion of the inhabitants of Kafr Bir’im from their homes in 1948. In 1951, well after armed conflict between Israel and the Arab States had ended, the Israeli authorities had destroyed those homes and property and confiscated village land, finally turning it over to Jewish settlements in 1953. Thus, the villagers and their descendants, a community with a distinct identity and cultural heritage as Palestinian Christians, had lost 12,000 dunums (1 dunum = 1,000 square metres) of land, along with their homes, agricultural and grazing land and primary means of livelihood.</w:t>
      </w:r>
    </w:p>
    <w:p w:rsidR="009407BA" w:rsidRPr="009407BA" w:rsidRDefault="009407BA" w:rsidP="009407B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9407BA">
        <w:rPr>
          <w:rFonts w:ascii="Times New Roman" w:eastAsia="Times New Roman" w:hAnsi="Times New Roman" w:cs="Times New Roman"/>
          <w:color w:val="000000"/>
          <w:sz w:val="27"/>
          <w:szCs w:val="27"/>
        </w:rPr>
        <w:lastRenderedPageBreak/>
        <w:t>88. In 1951, the villagers of Kafr Bir’im and Iqrit had filed a joint petition before the Israeli Supreme Court against all the ministries involved in the decision to expel them from and expropriate their land. Surprisingly, the Court had ordered the Government to allow the villagers to return, because no evacuation orders had been issued; however, it had refused to do so, and after the villagers had filed a second petition, issued a retroactive evacuation order in order to prevent their return.</w:t>
      </w:r>
    </w:p>
    <w:p w:rsidR="009407BA" w:rsidRPr="009407BA" w:rsidRDefault="009407BA" w:rsidP="009407B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9407BA">
        <w:rPr>
          <w:rFonts w:ascii="Times New Roman" w:eastAsia="Times New Roman" w:hAnsi="Times New Roman" w:cs="Times New Roman"/>
          <w:color w:val="000000"/>
          <w:sz w:val="27"/>
          <w:szCs w:val="27"/>
        </w:rPr>
        <w:t>89. In 1953, the Government had ordered the village to be confiscated under the Land Acquisition Act, claiming that the villagers had abandoned their land. When military rule had ended in 1966, the villagers had not been permitted to return and were continuing to petition several Israeli public officials for permission to do so, to no avail. The only structure left standing in the village was the church, and villagers who attempted to maintain their ties to the village by worshipping there on religious holidays passed a sign that claimed that the site was a Jewish village, which negated their history and identity.</w:t>
      </w:r>
    </w:p>
    <w:p w:rsidR="009407BA" w:rsidRPr="009407BA" w:rsidRDefault="009407BA" w:rsidP="009407B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9407BA">
        <w:rPr>
          <w:rFonts w:ascii="Times New Roman" w:eastAsia="Times New Roman" w:hAnsi="Times New Roman" w:cs="Times New Roman"/>
          <w:color w:val="000000"/>
          <w:sz w:val="27"/>
          <w:szCs w:val="27"/>
        </w:rPr>
        <w:t>90. Absentee property laws comprised the second main category of legislation intended to consolidate expropriation. Under that set of laws, some 5 million dunums of land had been confiscated from Palestinians and transferred to the Development Authority. The Absentee Property Act of 1950 stipulated that any person leaving his or her residence for any length of time after 29 November 1947 for any area, which meant all surrounding Arab States, would be deemed to be an absentee, at which point his or her property would be subject to confiscation by the Custodian of Absentee Property. Even Palestinians within Israel who had remained on their land could be identified as enemies, deemed “present absentees” and have their property confiscated. Furthermore, no restitution was permitted under Israeli law once the Custodian had transferred property ownership. The collective ownership schemes that had applied to most Palestinian property had made it difficult to file individual land claims.</w:t>
      </w:r>
    </w:p>
    <w:p w:rsidR="009407BA" w:rsidRPr="009407BA" w:rsidRDefault="009407BA" w:rsidP="009407B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9407BA">
        <w:rPr>
          <w:rFonts w:ascii="Times New Roman" w:eastAsia="Times New Roman" w:hAnsi="Times New Roman" w:cs="Times New Roman"/>
          <w:color w:val="000000"/>
          <w:sz w:val="27"/>
          <w:szCs w:val="27"/>
        </w:rPr>
        <w:t>91. The third category of legislation, namely, settlement of title operations, had allowed Israel to take possession of 15 million dunums of privately and communally held Palestinian land, taking advantage of the fact that most Palestinian Arabs had not registered individual land titles. Israel had changed land laws retroactively in order to render earlier types of land ownership invalid under Israeli law, as in the case of the Bedouin of Arab As-Subieh, whose dispossession had also been facilitated by the Absentee Property Act and the Land (Acquisition for Public Purposes) Ordinance of 1943.</w:t>
      </w:r>
    </w:p>
    <w:p w:rsidR="009407BA" w:rsidRPr="009407BA" w:rsidRDefault="009407BA" w:rsidP="009407B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9407BA">
        <w:rPr>
          <w:rFonts w:ascii="Times New Roman" w:eastAsia="Times New Roman" w:hAnsi="Times New Roman" w:cs="Times New Roman"/>
          <w:color w:val="000000"/>
          <w:sz w:val="27"/>
          <w:szCs w:val="27"/>
        </w:rPr>
        <w:t xml:space="preserve">92. The fourth category of legislation, which included a set of ordinances for public purposes, had addressed the fact that most private property in Palestine before 1948 had been owned by Palestinians. Those ordinances had made it possible for the </w:t>
      </w:r>
      <w:r w:rsidRPr="009407BA">
        <w:rPr>
          <w:rFonts w:ascii="Times New Roman" w:eastAsia="Times New Roman" w:hAnsi="Times New Roman" w:cs="Times New Roman"/>
          <w:color w:val="000000"/>
          <w:sz w:val="27"/>
          <w:szCs w:val="27"/>
        </w:rPr>
        <w:lastRenderedPageBreak/>
        <w:t>Government to legally confiscate a further 1.8 million dunums of private Palestinian land simply by providing certification that the land in question could or should be used for public purposes.</w:t>
      </w:r>
    </w:p>
    <w:p w:rsidR="009407BA" w:rsidRPr="009407BA" w:rsidRDefault="009407BA" w:rsidP="009407B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9407BA">
        <w:rPr>
          <w:rFonts w:ascii="Times New Roman" w:eastAsia="Times New Roman" w:hAnsi="Times New Roman" w:cs="Times New Roman"/>
          <w:color w:val="000000"/>
          <w:sz w:val="27"/>
          <w:szCs w:val="27"/>
        </w:rPr>
        <w:t>93. The cumulative effect of the series of property laws had been to reverse the percentages of land held by each group; whereas before 1948, 94 per cent of land in Palestine had been Arab-owned and 6 per cent had belonged to Jews, roughly the opposite was currently true. The legislation had also consolidated Israeli control of land gains made in the 1948 war. Dispossession was continuing, with some 400,000 Palestinians having been expelled or displaced by the 1967 war and about 20,000 having suffered that fate in every subsequent year. In addition, the land and property of refugees living in the Occupied Territory were being confiscated under another set of military orders that operated in the West Bank under civil administration, a phenomenon that also dated back to 1967. Meanwhile, the so-called “quiet transfer” of the remaining population was being carried out through revocation of residency permits, denial of family reunification requests, home demolitions, deportations and, most recently, the construction of the separation wall.</w:t>
      </w:r>
    </w:p>
    <w:p w:rsidR="009407BA" w:rsidRPr="009407BA" w:rsidRDefault="009407BA" w:rsidP="009407B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9407BA">
        <w:rPr>
          <w:rFonts w:ascii="Times New Roman" w:eastAsia="Times New Roman" w:hAnsi="Times New Roman" w:cs="Times New Roman"/>
          <w:color w:val="000000"/>
          <w:sz w:val="27"/>
          <w:szCs w:val="27"/>
        </w:rPr>
        <w:t>94. Military orders in the Occupied Territory permitted the confiscation of land designated as belonging to so-called “security zones” or as useful for “military purposes”. Under those orders, 50,000 dunums of land had been confiscated for the construction of Jewish settlements, and no compensation had been granted to those from whom the land was taken. Furthermore, since 1967 another set of military orders on abandoned property had led to the confiscation of land in the West Bank and East Jerusalem that had been owned by Palestinians who had fled as a result of the 1967 war. Over one third of unregistered land had been claimed by Israel as State domain land, and a further 13 per cent of West Bank would soon be designated as such, pursuant to the relevant military orders. Lastly, orders on public use operated in a similar manner, allowing the State to confiscate Palestinian land in order to build Jewish-only bypass roads.</w:t>
      </w:r>
    </w:p>
    <w:p w:rsidR="009407BA" w:rsidRPr="009407BA" w:rsidRDefault="009407BA" w:rsidP="009407B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9407BA">
        <w:rPr>
          <w:rFonts w:ascii="Times New Roman" w:eastAsia="Times New Roman" w:hAnsi="Times New Roman" w:cs="Times New Roman"/>
          <w:color w:val="000000"/>
          <w:sz w:val="27"/>
          <w:szCs w:val="27"/>
        </w:rPr>
        <w:t>95.95. The Israeli Government had offered significant financial incentives to settlers who had been forced to relocate from Gaza to populate the Negev and the Galilee in order to break up densely-populated Arab areas. The continuing construction of the separation wall constituted another means of displacement and dispossession, having made permanent land confiscation in West Bank areas where the wall was being built; caused the destruction of homes and property, along with confiscation of the West Bank aquifer, the Territory’s main water source; and restricted Palestinian access to work, schools and hospitals. Moreover, an additional 8 per cent of land in the Occupied Territory would be expropriated for construction of the wall by Israel, which already held 66 per cent of all occupied land.</w:t>
      </w:r>
    </w:p>
    <w:p w:rsidR="009407BA" w:rsidRPr="009407BA" w:rsidRDefault="009407BA" w:rsidP="009407B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9407BA">
        <w:rPr>
          <w:rFonts w:ascii="Times New Roman" w:eastAsia="Times New Roman" w:hAnsi="Times New Roman" w:cs="Times New Roman"/>
          <w:color w:val="000000"/>
          <w:sz w:val="27"/>
          <w:szCs w:val="27"/>
        </w:rPr>
        <w:lastRenderedPageBreak/>
        <w:t>96. General Assembly resolution 194 (III) recognized Palestine refugees’ and internally displaced persons’ right of return and their right to receive restitution of property and compensation, and should be utilized in the effort to bring about a durable solution to the refugee question. The fact that 70 per cent of the Palestinian land confiscated by Israel remained unsettled indicated that restitution was possible; however, no mechanisms existed that might permit implementation of a durable solution. As had been demonstrated in the cases of Iqrit and Kafr Bir’im, and in hundreds of others, recourse to Israeli courts in order to settle land cases was futile. Furthermore, Israel had not ratified any international complaint mechanism that might provide a remedy.</w:t>
      </w:r>
    </w:p>
    <w:p w:rsidR="009407BA" w:rsidRPr="009407BA" w:rsidRDefault="009407BA" w:rsidP="009407B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9407BA">
        <w:rPr>
          <w:rFonts w:ascii="Times New Roman" w:eastAsia="Times New Roman" w:hAnsi="Times New Roman" w:cs="Times New Roman"/>
          <w:color w:val="000000"/>
          <w:sz w:val="27"/>
          <w:szCs w:val="27"/>
        </w:rPr>
        <w:t>97. The petition submitted by the villagers of Iqrit and Kafr Bir’im requested the United Nations Human Rights Council to adopt a resolution condemning the expropriation of Palestinian Arab land and other property in Israel by the State of Israel; to find that those actions constitute a consistent pattern of gross and reliably attested violations of human rights and fundamental freedoms that must be halted immediately; and to rule that housing and property restitution should be provided to the victims as an appropriate remedy under international law. Unfortunately, United Nations protection mechanisms remained unresponsive to the villagers’ pleas.</w:t>
      </w:r>
    </w:p>
    <w:p w:rsidR="009407BA" w:rsidRPr="009407BA" w:rsidRDefault="009407BA" w:rsidP="009407B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9407BA">
        <w:rPr>
          <w:rFonts w:ascii="Times New Roman" w:eastAsia="Times New Roman" w:hAnsi="Times New Roman" w:cs="Times New Roman"/>
          <w:color w:val="000000"/>
          <w:sz w:val="27"/>
          <w:szCs w:val="27"/>
        </w:rPr>
        <w:t>98. </w:t>
      </w:r>
      <w:r w:rsidRPr="009407BA">
        <w:rPr>
          <w:rFonts w:ascii="Times New Roman" w:eastAsia="Times New Roman" w:hAnsi="Times New Roman" w:cs="Times New Roman"/>
          <w:i/>
          <w:iCs/>
          <w:color w:val="000000"/>
          <w:sz w:val="27"/>
          <w:szCs w:val="27"/>
        </w:rPr>
        <w:t>Ms. Akram (Professor, Faculty of Law, Boston University) withdrew</w:t>
      </w:r>
      <w:r w:rsidRPr="009407BA">
        <w:rPr>
          <w:rFonts w:ascii="Times New Roman" w:eastAsia="Times New Roman" w:hAnsi="Times New Roman" w:cs="Times New Roman"/>
          <w:color w:val="000000"/>
          <w:sz w:val="27"/>
          <w:szCs w:val="27"/>
        </w:rPr>
        <w:t>.</w:t>
      </w:r>
    </w:p>
    <w:p w:rsidR="009407BA" w:rsidRPr="009407BA" w:rsidRDefault="009407BA" w:rsidP="009407B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9407BA">
        <w:rPr>
          <w:rFonts w:ascii="Times New Roman" w:eastAsia="Times New Roman" w:hAnsi="Times New Roman" w:cs="Times New Roman"/>
          <w:color w:val="000000"/>
          <w:sz w:val="27"/>
          <w:szCs w:val="27"/>
        </w:rPr>
        <w:t>99. </w:t>
      </w:r>
      <w:r w:rsidRPr="009407BA">
        <w:rPr>
          <w:rFonts w:ascii="Times New Roman" w:eastAsia="Times New Roman" w:hAnsi="Times New Roman" w:cs="Times New Roman"/>
          <w:i/>
          <w:iCs/>
          <w:color w:val="000000"/>
          <w:sz w:val="27"/>
          <w:szCs w:val="27"/>
        </w:rPr>
        <w:t>At the invitation of the Chairman, Mr. Fischbach (Randolph-Macon College) took a place at the Committee table </w:t>
      </w:r>
      <w:r w:rsidRPr="009407BA">
        <w:rPr>
          <w:rFonts w:ascii="Times New Roman" w:eastAsia="Times New Roman" w:hAnsi="Times New Roman" w:cs="Times New Roman"/>
          <w:color w:val="000000"/>
          <w:sz w:val="27"/>
          <w:szCs w:val="27"/>
        </w:rPr>
        <w:t>.</w:t>
      </w:r>
    </w:p>
    <w:p w:rsidR="009407BA" w:rsidRPr="009407BA" w:rsidRDefault="009407BA" w:rsidP="009407B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9407BA">
        <w:rPr>
          <w:rFonts w:ascii="Times New Roman" w:eastAsia="Times New Roman" w:hAnsi="Times New Roman" w:cs="Times New Roman"/>
          <w:color w:val="000000"/>
          <w:sz w:val="27"/>
          <w:szCs w:val="27"/>
        </w:rPr>
        <w:t>100. </w:t>
      </w:r>
      <w:r w:rsidRPr="009407BA">
        <w:rPr>
          <w:rFonts w:ascii="Times New Roman" w:eastAsia="Times New Roman" w:hAnsi="Times New Roman" w:cs="Times New Roman"/>
          <w:b/>
          <w:bCs/>
          <w:color w:val="000000"/>
          <w:sz w:val="27"/>
          <w:szCs w:val="27"/>
        </w:rPr>
        <w:t>Mr. Fischbach</w:t>
      </w:r>
      <w:r w:rsidRPr="009407BA">
        <w:rPr>
          <w:rFonts w:ascii="Times New Roman" w:eastAsia="Times New Roman" w:hAnsi="Times New Roman" w:cs="Times New Roman"/>
          <w:color w:val="000000"/>
          <w:sz w:val="27"/>
          <w:szCs w:val="27"/>
        </w:rPr>
        <w:t> (Randolph-Macon College) said that the 1948 Arab-Israeli war for control of Palestine had resulted in a victory for the new State of Israel and the shattering of Palestinian Arab society. During their flight or expulsion by Jewish forces, some 750,000 refugees had left behind vast amounts of land and other property, including businesses, bank accounts, houses of worship, cemeteries, shrines, farm and business equipment and personal belongings, all of which had subsequently been confiscated by the Israeli Government, which had stated that it would compensate them for certain categories of lost property while categorically refusing any large-scale repatriation. Because of the connection between property claims and the right of return, Palestine refugees had refused to accept either compensation or permanent exile, and no wide-scale property compensation or restitution had been undertaken in the six decades of the continuing conflict.</w:t>
      </w:r>
    </w:p>
    <w:p w:rsidR="009407BA" w:rsidRPr="009407BA" w:rsidRDefault="009407BA" w:rsidP="009407B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9407BA">
        <w:rPr>
          <w:rFonts w:ascii="Times New Roman" w:eastAsia="Times New Roman" w:hAnsi="Times New Roman" w:cs="Times New Roman"/>
          <w:color w:val="000000"/>
          <w:sz w:val="27"/>
          <w:szCs w:val="27"/>
        </w:rPr>
        <w:t xml:space="preserve">101.101. Given the agricultural nature of the Palestinian Arab society and economy, most refugees’ capital had been tied up in their homes, fields, farm animals and tools, and the economically catastrophic loss of that capital had rendered them unable to establish a new existence in exile. The expropriation of the vast amount of property </w:t>
      </w:r>
      <w:r w:rsidRPr="009407BA">
        <w:rPr>
          <w:rFonts w:ascii="Times New Roman" w:eastAsia="Times New Roman" w:hAnsi="Times New Roman" w:cs="Times New Roman"/>
          <w:color w:val="000000"/>
          <w:sz w:val="27"/>
          <w:szCs w:val="27"/>
        </w:rPr>
        <w:lastRenderedPageBreak/>
        <w:t>left behind, pursuant to the provisional Israeli cabinet’s decision to prevent the return of refugees, had resulted in a massive windfall for Israel and had ultimately given rise to the entire refugee property dilemma.</w:t>
      </w:r>
    </w:p>
    <w:p w:rsidR="009407BA" w:rsidRPr="009407BA" w:rsidRDefault="009407BA" w:rsidP="009407B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9407BA">
        <w:rPr>
          <w:rFonts w:ascii="Times New Roman" w:eastAsia="Times New Roman" w:hAnsi="Times New Roman" w:cs="Times New Roman"/>
          <w:color w:val="000000"/>
          <w:sz w:val="27"/>
          <w:szCs w:val="27"/>
        </w:rPr>
        <w:t>102. The provisional Israeli cabinet had moved to provide a legal framework for control of the expropriated property by freezing refugee bank accounts and enacting laws to extend Government authority over other types of property. Under the Emergency Regulations (Absentees’ Property) Law of 1948, which shifted the definition of that property from the property itself to the owner, the State could confiscate the property of any person who met the sweeping criteria for the newly created “absentee” legal status. Legal title to the refugees’ land was henceforth vested in the Custodian of Absentee Property, an office also created by that Law. Furthermore, a later absentee property law passed in 1950 gave the Custodian the right to sell absentee property to a “development authority”, a public body that was to be created later that year and that would purchase a large amount of land from the custodian in 1953.</w:t>
      </w:r>
    </w:p>
    <w:p w:rsidR="009407BA" w:rsidRPr="009407BA" w:rsidRDefault="009407BA" w:rsidP="009407B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9407BA">
        <w:rPr>
          <w:rFonts w:ascii="Times New Roman" w:eastAsia="Times New Roman" w:hAnsi="Times New Roman" w:cs="Times New Roman"/>
          <w:color w:val="000000"/>
          <w:sz w:val="27"/>
          <w:szCs w:val="27"/>
        </w:rPr>
        <w:t>103. The Jewish National Fund also purchased a large amount of refugee land; from the mid-1950s, the Israeli Government had considered that refugee land had passed permanently into the hands of the State and its agencies. By 1954, one third of Israel’s Jewish population, including new Jewish immigrants who had arrived in and after 1948, had settled on confiscated refugee property. The Government also confiscated and sold movable property left behind by refugees.</w:t>
      </w:r>
    </w:p>
    <w:p w:rsidR="009407BA" w:rsidRPr="009407BA" w:rsidRDefault="009407BA" w:rsidP="009407B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9407BA">
        <w:rPr>
          <w:rFonts w:ascii="Times New Roman" w:eastAsia="Times New Roman" w:hAnsi="Times New Roman" w:cs="Times New Roman"/>
          <w:color w:val="000000"/>
          <w:sz w:val="27"/>
          <w:szCs w:val="27"/>
        </w:rPr>
        <w:t>104. Estimates of the amount and value of abandoned Palestine refugee property varied widely. Israeli estimates ranged between 2 and 3.2 million dunums of land, worth between 262 and 564 million 1948 United States dollars, while economist Yusif Sayigh estimated in 1966 that the refugees had lost 6.6 million dunums of land, worth 1.625 billion 1948 United States dollars. Sami Hadawi and Atef Kubursi estimated in 1988 that total losses had been in the order of 19 million dunums of land, worth 2.1 billion 1948 United States dollars. Lastly, the United Nations Conciliation Commission for Palestine (UNCCP) made a general estimate in 1951 that Palestine refugees had lost 19 million dunums of land, worth 404 million 1948 United States dollars, a figure which was revised in the light of an exhaustive study carried out between 1957 and 1964, yielding a new estimate of 6 million dunums of land worth 825 million 1948 United States dollars. With regard to personal and movable property losses, in 1951 UNCCP estimated the value of such property at some 80.6 million 1948 United States dollars, and a decade later it had developed a figure that was never released of between 77 and 169 million United States dollars.</w:t>
      </w:r>
    </w:p>
    <w:p w:rsidR="009407BA" w:rsidRPr="009407BA" w:rsidRDefault="009407BA" w:rsidP="009407B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9407BA">
        <w:rPr>
          <w:rFonts w:ascii="Times New Roman" w:eastAsia="Times New Roman" w:hAnsi="Times New Roman" w:cs="Times New Roman"/>
          <w:color w:val="000000"/>
          <w:sz w:val="27"/>
          <w:szCs w:val="27"/>
        </w:rPr>
        <w:t xml:space="preserve">105. The first United Nations efforts to deal with the question of refugee property came with the appointment by the General Assembly of Folke Bernadotte of Sweden </w:t>
      </w:r>
      <w:r w:rsidRPr="009407BA">
        <w:rPr>
          <w:rFonts w:ascii="Times New Roman" w:eastAsia="Times New Roman" w:hAnsi="Times New Roman" w:cs="Times New Roman"/>
          <w:color w:val="000000"/>
          <w:sz w:val="27"/>
          <w:szCs w:val="27"/>
        </w:rPr>
        <w:lastRenderedPageBreak/>
        <w:t>as Mediator for Palestine; his progress report to the General Assembly noted instances of wanton looting, plundering and destruction of villages, emphasizing “the liability of the provisional Government of Israel to restore private property to its Arab owners and to indemnify those owners” for property destroyed. In addition, General Assembly resolution 194 (III), paragraph 11, had elevated refugee repatriation and property compensation from a matter for the belligerent parties to work out to a formal call from the international community. While paragraph 11 was silent as to whether Israel must restitute confiscated property to returning refugees, the text did link repatriation and compensation, insofar as refugees should either be allowed to go home, or be compensated for their abandoned property if they chose not to do so.</w:t>
      </w:r>
    </w:p>
    <w:p w:rsidR="009407BA" w:rsidRPr="009407BA" w:rsidRDefault="009407BA" w:rsidP="009407B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9407BA">
        <w:rPr>
          <w:rFonts w:ascii="Times New Roman" w:eastAsia="Times New Roman" w:hAnsi="Times New Roman" w:cs="Times New Roman"/>
          <w:color w:val="000000"/>
          <w:sz w:val="27"/>
          <w:szCs w:val="27"/>
        </w:rPr>
        <w:t>106. The three-member UNCCP, composed of France, Turkey and the United States of America, which had been created pursuant to resolution 194 (III), was charged with taking over the role of the Mediator and facilitating refugee repatriation, economic and social rehabilitation and compensation. From 1951 onwards, UNCCP had concentrated almost exclusively on the last, carrying out two studies on the volume and value of refugee property, one of which was a massive technical programme detailing ownership of more than 458,000 individual parcels of land which were owned by Arabs in 1948, and brokering arrangements whereby Israel returned frozen bank accounts and other property to their refugee owners.</w:t>
      </w:r>
    </w:p>
    <w:p w:rsidR="009407BA" w:rsidRPr="009407BA" w:rsidRDefault="009407BA" w:rsidP="009407B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9407BA">
        <w:rPr>
          <w:rFonts w:ascii="Times New Roman" w:eastAsia="Times New Roman" w:hAnsi="Times New Roman" w:cs="Times New Roman"/>
          <w:color w:val="000000"/>
          <w:sz w:val="27"/>
          <w:szCs w:val="27"/>
        </w:rPr>
        <w:t>107. Notwithstanding the subsequent demise of UNCCP and lack of progress on the refugee property issue, the General Assembly had continued to issue resolutions affirming refugee property rights and calling on behalf of the rightful owners for the establishment of a fund for the receipt of income derived from Arab property, assets and property rights in Israel. More recently, General Assembly resolution 62/105, adopted just weeks after the Annapolis summit, had echoed that call, urging Israeli and Palestinian peacemakers to exert efforts to deal with the property issues. Lastly, the Committee, in conjunction with the Palestine Liberation Organization (PLO), had created a computerized database of Palestinian refugee property, based on UNCCP records archived in the United Nations Secretariat.</w:t>
      </w:r>
    </w:p>
    <w:p w:rsidR="009407BA" w:rsidRPr="009407BA" w:rsidRDefault="009407BA" w:rsidP="009407B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9407BA">
        <w:rPr>
          <w:rFonts w:ascii="Times New Roman" w:eastAsia="Times New Roman" w:hAnsi="Times New Roman" w:cs="Times New Roman"/>
          <w:color w:val="000000"/>
          <w:sz w:val="27"/>
          <w:szCs w:val="27"/>
        </w:rPr>
        <w:t xml:space="preserve">108. The Oslo Accord signed by Israel and the PLO in 1993 had set the stage for the first significant diplomatic discussions about refugee property to have taken place in decades, at the Camp David II and Taba peace conferences, both of which had ultimately failed to reach a peaceful settlement to the conflict. Whereas PLO negotiators had called for property restitution and compensation, both for returning refugees and for those who chose not to return, Israel had continued to reject restitution, proposing instead the creation of an international forum to deal with property compensation claims. The breakdown of the peace process in 2001 had kept the refugee property question in continued abeyance, and 60 years after the Nakba, there had been no wide-scale property compensation and/or restitution. Indeed, failure </w:t>
      </w:r>
      <w:r w:rsidRPr="009407BA">
        <w:rPr>
          <w:rFonts w:ascii="Times New Roman" w:eastAsia="Times New Roman" w:hAnsi="Times New Roman" w:cs="Times New Roman"/>
          <w:color w:val="000000"/>
          <w:sz w:val="27"/>
          <w:szCs w:val="27"/>
        </w:rPr>
        <w:lastRenderedPageBreak/>
        <w:t>to take the refugee problem, including the question of property loss, fully into consideration would be detrimental to prospects for a lasting solution to the Arab-Israeli conflict.</w:t>
      </w:r>
    </w:p>
    <w:p w:rsidR="009407BA" w:rsidRPr="009407BA" w:rsidRDefault="009407BA" w:rsidP="009407B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9407BA">
        <w:rPr>
          <w:rFonts w:ascii="Times New Roman" w:eastAsia="Times New Roman" w:hAnsi="Times New Roman" w:cs="Times New Roman"/>
          <w:color w:val="000000"/>
          <w:sz w:val="27"/>
          <w:szCs w:val="27"/>
        </w:rPr>
        <w:t>109. </w:t>
      </w:r>
      <w:r w:rsidRPr="009407BA">
        <w:rPr>
          <w:rFonts w:ascii="Times New Roman" w:eastAsia="Times New Roman" w:hAnsi="Times New Roman" w:cs="Times New Roman"/>
          <w:i/>
          <w:iCs/>
          <w:color w:val="000000"/>
          <w:sz w:val="27"/>
          <w:szCs w:val="27"/>
        </w:rPr>
        <w:t>Mr. Fischbach (Randolph-Macon College) withdrew</w:t>
      </w:r>
      <w:r w:rsidRPr="009407BA">
        <w:rPr>
          <w:rFonts w:ascii="Times New Roman" w:eastAsia="Times New Roman" w:hAnsi="Times New Roman" w:cs="Times New Roman"/>
          <w:color w:val="000000"/>
          <w:sz w:val="27"/>
          <w:szCs w:val="27"/>
        </w:rPr>
        <w:t>.</w:t>
      </w:r>
    </w:p>
    <w:p w:rsidR="009407BA" w:rsidRPr="009407BA" w:rsidRDefault="009407BA" w:rsidP="009407B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9407BA">
        <w:rPr>
          <w:rFonts w:ascii="Times New Roman" w:eastAsia="Times New Roman" w:hAnsi="Times New Roman" w:cs="Times New Roman"/>
          <w:color w:val="000000"/>
          <w:sz w:val="27"/>
          <w:szCs w:val="27"/>
        </w:rPr>
        <w:t>110. </w:t>
      </w:r>
      <w:r w:rsidRPr="009407BA">
        <w:rPr>
          <w:rFonts w:ascii="Times New Roman" w:eastAsia="Times New Roman" w:hAnsi="Times New Roman" w:cs="Times New Roman"/>
          <w:b/>
          <w:bCs/>
          <w:color w:val="000000"/>
          <w:sz w:val="27"/>
          <w:szCs w:val="27"/>
        </w:rPr>
        <w:t>The Chairman</w:t>
      </w:r>
      <w:r w:rsidRPr="009407BA">
        <w:rPr>
          <w:rFonts w:ascii="Times New Roman" w:eastAsia="Times New Roman" w:hAnsi="Times New Roman" w:cs="Times New Roman"/>
          <w:color w:val="000000"/>
          <w:sz w:val="27"/>
          <w:szCs w:val="27"/>
        </w:rPr>
        <w:t> said that Mr. Fischbach’s extensive research on Palestine refugees’ legal rights to restitution and compensation were of particular interest and relevance to the Committee, as well as to other United Nations organs seized with the Palestine question.</w:t>
      </w:r>
    </w:p>
    <w:p w:rsidR="009407BA" w:rsidRPr="009407BA" w:rsidRDefault="009407BA" w:rsidP="009407B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9407BA">
        <w:rPr>
          <w:rFonts w:ascii="Times New Roman" w:eastAsia="Times New Roman" w:hAnsi="Times New Roman" w:cs="Times New Roman"/>
          <w:color w:val="000000"/>
          <w:sz w:val="27"/>
          <w:szCs w:val="27"/>
        </w:rPr>
        <w:t>111. </w:t>
      </w:r>
      <w:r w:rsidRPr="009407BA">
        <w:rPr>
          <w:rFonts w:ascii="Times New Roman" w:eastAsia="Times New Roman" w:hAnsi="Times New Roman" w:cs="Times New Roman"/>
          <w:i/>
          <w:iCs/>
          <w:color w:val="000000"/>
          <w:sz w:val="27"/>
          <w:szCs w:val="27"/>
        </w:rPr>
        <w:t>At the invitation of the Chairman, Ms. Hijab (Institute for Palestine Studies) took a place at the Committee table </w:t>
      </w:r>
      <w:r w:rsidRPr="009407BA">
        <w:rPr>
          <w:rFonts w:ascii="Times New Roman" w:eastAsia="Times New Roman" w:hAnsi="Times New Roman" w:cs="Times New Roman"/>
          <w:color w:val="000000"/>
          <w:sz w:val="27"/>
          <w:szCs w:val="27"/>
        </w:rPr>
        <w:t>.</w:t>
      </w:r>
    </w:p>
    <w:p w:rsidR="009407BA" w:rsidRPr="009407BA" w:rsidRDefault="009407BA" w:rsidP="009407B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9407BA">
        <w:rPr>
          <w:rFonts w:ascii="Times New Roman" w:eastAsia="Times New Roman" w:hAnsi="Times New Roman" w:cs="Times New Roman"/>
          <w:color w:val="000000"/>
          <w:sz w:val="27"/>
          <w:szCs w:val="27"/>
        </w:rPr>
        <w:t>112. </w:t>
      </w:r>
      <w:r w:rsidRPr="009407BA">
        <w:rPr>
          <w:rFonts w:ascii="Times New Roman" w:eastAsia="Times New Roman" w:hAnsi="Times New Roman" w:cs="Times New Roman"/>
          <w:b/>
          <w:bCs/>
          <w:color w:val="000000"/>
          <w:sz w:val="27"/>
          <w:szCs w:val="27"/>
        </w:rPr>
        <w:t>Ms. Hijab</w:t>
      </w:r>
      <w:r w:rsidRPr="009407BA">
        <w:rPr>
          <w:rFonts w:ascii="Times New Roman" w:eastAsia="Times New Roman" w:hAnsi="Times New Roman" w:cs="Times New Roman"/>
          <w:color w:val="000000"/>
          <w:sz w:val="27"/>
          <w:szCs w:val="27"/>
        </w:rPr>
        <w:t> (Institute for Palestine Studies) said that in terms of the rights of Palestinian refugees, the previous 60 years had been long on resolutions and short on resolve, mainly because it had been practically impossible to force either Israel or the United States of America to do anything they did not wish to do. Ironically, Palestinian refugees and exiles were currently in a stronger position than they had been in 1993, when the Oslo Accords had set in motion an interminable, fruitless, so-called peace process, precisely because Israel had continued to deny any realization of Palestinian rights.</w:t>
      </w:r>
    </w:p>
    <w:p w:rsidR="009407BA" w:rsidRPr="009407BA" w:rsidRDefault="009407BA" w:rsidP="009407B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9407BA">
        <w:rPr>
          <w:rFonts w:ascii="Times New Roman" w:eastAsia="Times New Roman" w:hAnsi="Times New Roman" w:cs="Times New Roman"/>
          <w:color w:val="000000"/>
          <w:sz w:val="27"/>
          <w:szCs w:val="27"/>
        </w:rPr>
        <w:t>113. With regard to the role of States in dealing with refugee rights, Israel had consistently refused to acknowledge any moral or legal responsibility for the creation of the refugee problem, and had been willing to accept only token family reunification. At the Camp David talks in 2000, former Israeli Prime Minister Ehud Barak had reiterated that position. One of the ways in which Israel had stymied the issue of Palestine refugee restitution and compensation was by tying that question to that of Jewish refugees from Arab States, a link that was emphasized annually in United States Congress resolutions on the matter.</w:t>
      </w:r>
    </w:p>
    <w:p w:rsidR="009407BA" w:rsidRPr="009407BA" w:rsidRDefault="009407BA" w:rsidP="009407B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9407BA">
        <w:rPr>
          <w:rFonts w:ascii="Times New Roman" w:eastAsia="Times New Roman" w:hAnsi="Times New Roman" w:cs="Times New Roman"/>
          <w:color w:val="000000"/>
          <w:sz w:val="27"/>
          <w:szCs w:val="27"/>
        </w:rPr>
        <w:t>114. It was widely known that Israel refused to allow Palestine refugees to return, fearing that its nature as a Jewish State would be undermined, hence its increasingly forceful, specific demands for international and Palestinian recognition of it as such. That assertion reaffirmed not only the negation of the right of return of Palestinians to Palestine, but also the second-class status of Palestinian citizens of Israel, who were the target of discriminatory State laws.</w:t>
      </w:r>
    </w:p>
    <w:p w:rsidR="009407BA" w:rsidRPr="009407BA" w:rsidRDefault="009407BA" w:rsidP="009407B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9407BA">
        <w:rPr>
          <w:rFonts w:ascii="Times New Roman" w:eastAsia="Times New Roman" w:hAnsi="Times New Roman" w:cs="Times New Roman"/>
          <w:color w:val="000000"/>
          <w:sz w:val="27"/>
          <w:szCs w:val="27"/>
        </w:rPr>
        <w:t xml:space="preserve">115.115. Although even the most moderate Israeli leftists rejected the right of return, a small number of them were willing to acknowledge Israel’s role in creating the refugee problem. Ms. Akram had highlighted the extent of Israeli dispossession of </w:t>
      </w:r>
      <w:r w:rsidRPr="009407BA">
        <w:rPr>
          <w:rFonts w:ascii="Times New Roman" w:eastAsia="Times New Roman" w:hAnsi="Times New Roman" w:cs="Times New Roman"/>
          <w:color w:val="000000"/>
          <w:sz w:val="27"/>
          <w:szCs w:val="27"/>
        </w:rPr>
        <w:lastRenderedPageBreak/>
        <w:t>Palestinians through such measures as denial of family reunification in the Occupied Territory, where there were some 120,000 pending applications. It was estimated that some 300,000 Palestinians had left the Occupied Territory in the 1990s, including large numbers of Christians. Moreover, the family reunification issue also affected Palestinian citizens of Israel, who were prevented from living with spouses who came from the Occupied Territory. Despite calls from the Israeli Attorney General to rescind that racist restriction, there had in fact been efforts in the Knesset to extend it to Palestinian spouses from other countries.</w:t>
      </w:r>
    </w:p>
    <w:p w:rsidR="009407BA" w:rsidRPr="009407BA" w:rsidRDefault="009407BA" w:rsidP="009407B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9407BA">
        <w:rPr>
          <w:rFonts w:ascii="Times New Roman" w:eastAsia="Times New Roman" w:hAnsi="Times New Roman" w:cs="Times New Roman"/>
          <w:color w:val="000000"/>
          <w:sz w:val="27"/>
          <w:szCs w:val="27"/>
        </w:rPr>
        <w:t>116. Turning to the role of the United States of America, it had consistently insisted on being the chief arbiter in the Arab-Israeli conflict and on marginalizing the United Nations and potential European actors. Unwilling and/or unable to adopt an approach that would bring a measure of justice as defined by international law, the United States had promoted resettlement of refugees in host countries, ruling out anything beyond token repatriation and indefinitely deferring discussion of compensation. In addition, since 1949 the United States of America had striven to promote economic development rather than political rights, and was currently encouraging investment in the Occupied Palestinian Territory, even as settlements continued to expand and Palestinian movement was severely curtailed by checkpoints, roadblocks and the wall.</w:t>
      </w:r>
    </w:p>
    <w:p w:rsidR="009407BA" w:rsidRPr="009407BA" w:rsidRDefault="009407BA" w:rsidP="009407B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9407BA">
        <w:rPr>
          <w:rFonts w:ascii="Times New Roman" w:eastAsia="Times New Roman" w:hAnsi="Times New Roman" w:cs="Times New Roman"/>
          <w:color w:val="000000"/>
          <w:sz w:val="27"/>
          <w:szCs w:val="27"/>
        </w:rPr>
        <w:t>117. With regard to civil society, its increasingly important role in advocating for refugee rights had the potential to change a power dynamic heavily weighted in favour of Israel and the United States that had previously proven impossible to challenge. The main aim of one group of civil society actors, which included prominent figures who had been in or close to the Government, was to solve the Palestinian-Israeli question through a peace deal. Their efforts generally consisted of draft agreements that addressed implementation of the right of return and compensation in a limited manner and by parties other than Israel. The best known example was the non-binding Geneva Accord. Drafted by Yossi Beilin and Yasser Abed Rabbo, the agreement would entail Palestinian recognition of Israel as a Jewish State; payment of compensation to refugees and host countries; and five distinct repatriation options for refugees to choose from, namely, the State of Palestine, areas to be transferred in a land swap, third countries, Israel or the current host countries. Third countries and Israel would use “sovereign discretion” to determine how many refugees they would accept.</w:t>
      </w:r>
    </w:p>
    <w:p w:rsidR="009407BA" w:rsidRPr="009407BA" w:rsidRDefault="009407BA" w:rsidP="009407B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9407BA">
        <w:rPr>
          <w:rFonts w:ascii="Times New Roman" w:eastAsia="Times New Roman" w:hAnsi="Times New Roman" w:cs="Times New Roman"/>
          <w:color w:val="000000"/>
          <w:sz w:val="27"/>
          <w:szCs w:val="27"/>
        </w:rPr>
        <w:t xml:space="preserve">118.118. The most promising work was being done by civil society actors who were advocating for Palestinian rights, including the right of return, and who had become particularly active since the formal declaration of the two-State solution in 1988. Their activism had contributed to a change in the discourse on the issue: a conference on the right of return, held in Boston, United States, in the year 2000, had provided access to important information, including Salman Abu Sitta’s calculation that there </w:t>
      </w:r>
      <w:r w:rsidRPr="009407BA">
        <w:rPr>
          <w:rFonts w:ascii="Times New Roman" w:eastAsia="Times New Roman" w:hAnsi="Times New Roman" w:cs="Times New Roman"/>
          <w:color w:val="000000"/>
          <w:sz w:val="27"/>
          <w:szCs w:val="27"/>
        </w:rPr>
        <w:lastRenderedPageBreak/>
        <w:t>was sufficient space in Israel to resettle refugees who wanted to return. The conference had also led to the establishment of Al-Awda, the Palestine Right to Return Coalition, and the online publication, Electronic Intifada. In addition, such groups as BADIL, the refugee resource centre, and the CIVITAS project provided access to information and promoted networking and mobilization among Palestine refugee and exile communities worldwide. Moreover, as a direct consequence of their increased awareness and mobilization, a uniform voice was emerging from those communities, calling for direct representation and affirming the legitimacy of their claims, which any eventual peace settlement would have to take into account.</w:t>
      </w:r>
    </w:p>
    <w:p w:rsidR="009407BA" w:rsidRPr="009407BA" w:rsidRDefault="009407BA" w:rsidP="009407B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9407BA">
        <w:rPr>
          <w:rFonts w:ascii="Times New Roman" w:eastAsia="Times New Roman" w:hAnsi="Times New Roman" w:cs="Times New Roman"/>
          <w:color w:val="000000"/>
          <w:sz w:val="27"/>
          <w:szCs w:val="27"/>
        </w:rPr>
        <w:t>119. Interestingly, Palestinian citizens of Israel were beginning to advocate more forcefully in favour of the right of return, and the movement within Israel for the rights of internally displaced persons was also gaining momentum. Internationally, Palestinians had learned to turn the weaknesses of dispersion and dispossession into strengths, as younger generations of Palestinians who had grown up in exile were able to communicate with Western and other societies on their own terms, and had devised new and creative ways of conveying the story of their people through music, art, hip hop, film and theatre. As a result, global discourse was shifting, as was apparent in the substantial coverage devoted to the commemoration of the Palestinian Nakba in United States media, for the first time ever, alongside the celebration of the sixtieth anniversary of the creation of the State of Israel.</w:t>
      </w:r>
    </w:p>
    <w:p w:rsidR="009407BA" w:rsidRPr="009407BA" w:rsidRDefault="009407BA" w:rsidP="009407B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9407BA">
        <w:rPr>
          <w:rFonts w:ascii="Times New Roman" w:eastAsia="Times New Roman" w:hAnsi="Times New Roman" w:cs="Times New Roman"/>
          <w:color w:val="000000"/>
          <w:sz w:val="27"/>
          <w:szCs w:val="27"/>
        </w:rPr>
        <w:t>120. International advocates of Palestinian rights, some of whom were Jewish, were involved in various financial divestment and cultural, academic and trade boycott efforts aimed at ending the occupation and holding accountable companies complicit therein. While that movement was gaining ground slowly, it provided a valuable opportunity to educate various constituencies on the Palestine issue.</w:t>
      </w:r>
    </w:p>
    <w:p w:rsidR="009407BA" w:rsidRPr="009407BA" w:rsidRDefault="009407BA" w:rsidP="009407B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9407BA">
        <w:rPr>
          <w:rFonts w:ascii="Times New Roman" w:eastAsia="Times New Roman" w:hAnsi="Times New Roman" w:cs="Times New Roman"/>
          <w:color w:val="000000"/>
          <w:sz w:val="27"/>
          <w:szCs w:val="27"/>
        </w:rPr>
        <w:t>121. Civil society efforts to find alternative forms of power were helpful and necessary in order to change the existing power dynamic. Furthermore, Israel’s actions were causing many to wonder whether Zionist policy could coexist with democracy. People were beginning to understand that Palestinian citizens of Israel were often subject to abuses akin to those endured by Palestinians under occupation, and also, in fact, similar to the original injustice inflicted upon Palestinians in 1948. Consequently, making that connection was leading many to the realization that all such acts committed by Israel should be decried as unjust, as had been done by former United States President Jimmy Carter, who had popularized use of the term “apartheid” to refer to Israeli practices.</w:t>
      </w:r>
    </w:p>
    <w:p w:rsidR="009407BA" w:rsidRPr="009407BA" w:rsidRDefault="009407BA" w:rsidP="009407B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9407BA">
        <w:rPr>
          <w:rFonts w:ascii="Times New Roman" w:eastAsia="Times New Roman" w:hAnsi="Times New Roman" w:cs="Times New Roman"/>
          <w:color w:val="000000"/>
          <w:sz w:val="27"/>
          <w:szCs w:val="27"/>
        </w:rPr>
        <w:t xml:space="preserve">122.122. Israel, bound to the imperative of Zionism, namely, the creation in a land “without a people” of a land for the Jewish people, had continued to pursue the colonization project, making a two-State solution well-nigh impossible. Since Yasser </w:t>
      </w:r>
      <w:r w:rsidRPr="009407BA">
        <w:rPr>
          <w:rFonts w:ascii="Times New Roman" w:eastAsia="Times New Roman" w:hAnsi="Times New Roman" w:cs="Times New Roman"/>
          <w:color w:val="000000"/>
          <w:sz w:val="27"/>
          <w:szCs w:val="27"/>
        </w:rPr>
        <w:lastRenderedPageBreak/>
        <w:t>Arafat, the only statesman of sufficient stature to persuade the Palestinian people to accept nominal recognition of the right of return, was no longer alive, negotiators would have to address the issue and would find it difficult to reach a compromise, given the significant leverage that civil society and Palestinian refugee and exile groups had gained since 1993. As people of conscience everywhere continued in ever greater numbers to vocally oppose the Zionist system of dispossession and discrimination, a Zionist Israel would ultimately give way to a State in which all citizens were treated equally, either alongside a State of Palestine or as part of a single State of Palestine/Israel.</w:t>
      </w:r>
    </w:p>
    <w:p w:rsidR="009407BA" w:rsidRPr="009407BA" w:rsidRDefault="009407BA" w:rsidP="009407B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9407BA">
        <w:rPr>
          <w:rFonts w:ascii="Times New Roman" w:eastAsia="Times New Roman" w:hAnsi="Times New Roman" w:cs="Times New Roman"/>
          <w:color w:val="000000"/>
          <w:sz w:val="27"/>
          <w:szCs w:val="27"/>
        </w:rPr>
        <w:t>123. </w:t>
      </w:r>
      <w:r w:rsidRPr="009407BA">
        <w:rPr>
          <w:rFonts w:ascii="Times New Roman" w:eastAsia="Times New Roman" w:hAnsi="Times New Roman" w:cs="Times New Roman"/>
          <w:i/>
          <w:iCs/>
          <w:color w:val="000000"/>
          <w:sz w:val="27"/>
          <w:szCs w:val="27"/>
        </w:rPr>
        <w:t>Ms. Hijab (Institute for Palestine Studies) withdrew</w:t>
      </w:r>
      <w:r w:rsidRPr="009407BA">
        <w:rPr>
          <w:rFonts w:ascii="Times New Roman" w:eastAsia="Times New Roman" w:hAnsi="Times New Roman" w:cs="Times New Roman"/>
          <w:color w:val="000000"/>
          <w:sz w:val="27"/>
          <w:szCs w:val="27"/>
        </w:rPr>
        <w:t>.</w:t>
      </w:r>
    </w:p>
    <w:p w:rsidR="009407BA" w:rsidRPr="009407BA" w:rsidRDefault="009407BA" w:rsidP="009407B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9407BA">
        <w:rPr>
          <w:rFonts w:ascii="Times New Roman" w:eastAsia="Times New Roman" w:hAnsi="Times New Roman" w:cs="Times New Roman"/>
          <w:color w:val="000000"/>
          <w:sz w:val="27"/>
          <w:szCs w:val="27"/>
        </w:rPr>
        <w:t>124. </w:t>
      </w:r>
      <w:r w:rsidRPr="009407BA">
        <w:rPr>
          <w:rFonts w:ascii="Times New Roman" w:eastAsia="Times New Roman" w:hAnsi="Times New Roman" w:cs="Times New Roman"/>
          <w:b/>
          <w:bCs/>
          <w:color w:val="000000"/>
          <w:sz w:val="27"/>
          <w:szCs w:val="27"/>
        </w:rPr>
        <w:t>Mr. Mansour</w:t>
      </w:r>
      <w:r w:rsidRPr="009407BA">
        <w:rPr>
          <w:rFonts w:ascii="Times New Roman" w:eastAsia="Times New Roman" w:hAnsi="Times New Roman" w:cs="Times New Roman"/>
          <w:color w:val="000000"/>
          <w:sz w:val="27"/>
          <w:szCs w:val="27"/>
        </w:rPr>
        <w:t> (Tunisia) said that the proud and courageous Palestinian people had endured 60 years of suffering as the result of flagrant Israeli oppression, which had prevented it from exercising the most basic rights guaranteed by United Nations resolutions. It was incumbent upon the Committee and the international community to work towards putting an end to Palestinian suffering, in order to enable the Palestinian people to live a life of dignity and enjoy its freedoms in an independent and sovereign State. Unfortunately, efforts to resolve the Palestinian-Israeli conflict continued to encounter numerous obstacles, as indicated by figures and statistics that confirmed the need for a just resolution in order to allow the Palestinian people to exercise its inalienable rights. Despite the fact that the resumption of peace talks at the Annapolis summit had revived hopes for a settlement, the occupying Power’s imposition of a blockade, with its extensive restrictions and devastating economic and humanitarian consequences, effectively prevented any progress on that score.</w:t>
      </w:r>
    </w:p>
    <w:p w:rsidR="009407BA" w:rsidRPr="009407BA" w:rsidRDefault="009407BA" w:rsidP="009407B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9407BA">
        <w:rPr>
          <w:rFonts w:ascii="Times New Roman" w:eastAsia="Times New Roman" w:hAnsi="Times New Roman" w:cs="Times New Roman"/>
          <w:color w:val="000000"/>
          <w:sz w:val="27"/>
          <w:szCs w:val="27"/>
        </w:rPr>
        <w:t>125. The international community had united in calling for an immediate end to Israel’s clear violations of the fundamental principle of protection for civilians, as stipulated in the Fourth Geneva Convention, which also prohibited the occupier from establishing settlements on occupied land. Indeed, Israeli settlement and blockade policies, along with the refugee question, remained key issues to be addressed by the international community; in that context, the situation of over 4.5 million Palestine refugees living in the Occupied Territory and neighbouring host countries must be borne in mind. Mr. Mansour expressed appreciation for the laudable efforts made by those countries and UNRWA in assisting Palestine refugees.</w:t>
      </w:r>
    </w:p>
    <w:p w:rsidR="009407BA" w:rsidRPr="009407BA" w:rsidRDefault="009407BA" w:rsidP="009407B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9407BA">
        <w:rPr>
          <w:rFonts w:ascii="Times New Roman" w:eastAsia="Times New Roman" w:hAnsi="Times New Roman" w:cs="Times New Roman"/>
          <w:color w:val="000000"/>
          <w:sz w:val="27"/>
          <w:szCs w:val="27"/>
        </w:rPr>
        <w:t xml:space="preserve">126. As a matter of principle, Tunisia considered the Palestine question to be of the utmost importance, and his Government continued to extend its support and assistance to the fraternal Palestinian people. The Tunisian President had affirmed his country’s position at every regional and international meeting on the Palestine issue and continued to call upon the international community to protect the Palestinian people. A lasting and comprehensive solution to the Palestine question which restored the </w:t>
      </w:r>
      <w:r w:rsidRPr="009407BA">
        <w:rPr>
          <w:rFonts w:ascii="Times New Roman" w:eastAsia="Times New Roman" w:hAnsi="Times New Roman" w:cs="Times New Roman"/>
          <w:color w:val="000000"/>
          <w:sz w:val="27"/>
          <w:szCs w:val="27"/>
        </w:rPr>
        <w:lastRenderedPageBreak/>
        <w:t>Palestinian people’s legitimate rights and, in particular, the right of return, in accordance with resolutions of international legitimacy, would be the surest guarantee of peace and stability in the region.</w:t>
      </w:r>
    </w:p>
    <w:p w:rsidR="009407BA" w:rsidRPr="009407BA" w:rsidRDefault="009407BA" w:rsidP="009407B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9407BA">
        <w:rPr>
          <w:rFonts w:ascii="Times New Roman" w:eastAsia="Times New Roman" w:hAnsi="Times New Roman" w:cs="Times New Roman"/>
          <w:color w:val="000000"/>
          <w:sz w:val="27"/>
          <w:szCs w:val="27"/>
        </w:rPr>
        <w:t>127. </w:t>
      </w:r>
      <w:r w:rsidRPr="009407BA">
        <w:rPr>
          <w:rFonts w:ascii="Times New Roman" w:eastAsia="Times New Roman" w:hAnsi="Times New Roman" w:cs="Times New Roman"/>
          <w:b/>
          <w:bCs/>
          <w:color w:val="000000"/>
          <w:sz w:val="27"/>
          <w:szCs w:val="27"/>
        </w:rPr>
        <w:t>Mr. Tagle</w:t>
      </w:r>
      <w:r w:rsidRPr="009407BA">
        <w:rPr>
          <w:rFonts w:ascii="Times New Roman" w:eastAsia="Times New Roman" w:hAnsi="Times New Roman" w:cs="Times New Roman"/>
          <w:color w:val="000000"/>
          <w:sz w:val="27"/>
          <w:szCs w:val="27"/>
        </w:rPr>
        <w:t> (Chile) said that his country maintained its solidarity with the Palestinian people, and that it had recently received Palestine refugees. Having benefited from international solidarity in its own times of crisis, Chile had since developed into a democratic, pluralistic and prosperous society, and as such, it felt compelled to assist other peoples in need. While the harmonious coexistence of a State of Israel and a State of Palestine currently seemed highly improbable, it was important to hold fast to that ideal.</w:t>
      </w:r>
    </w:p>
    <w:p w:rsidR="009407BA" w:rsidRPr="009407BA" w:rsidRDefault="009407BA" w:rsidP="009407B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9407BA">
        <w:rPr>
          <w:rFonts w:ascii="Times New Roman" w:eastAsia="Times New Roman" w:hAnsi="Times New Roman" w:cs="Times New Roman"/>
          <w:color w:val="000000"/>
          <w:sz w:val="27"/>
          <w:szCs w:val="27"/>
        </w:rPr>
        <w:t>128. </w:t>
      </w:r>
      <w:r w:rsidRPr="009407BA">
        <w:rPr>
          <w:rFonts w:ascii="Times New Roman" w:eastAsia="Times New Roman" w:hAnsi="Times New Roman" w:cs="Times New Roman"/>
          <w:b/>
          <w:bCs/>
          <w:color w:val="000000"/>
          <w:sz w:val="27"/>
          <w:szCs w:val="27"/>
        </w:rPr>
        <w:t>Mr. Mansour</w:t>
      </w:r>
      <w:r w:rsidRPr="009407BA">
        <w:rPr>
          <w:rFonts w:ascii="Times New Roman" w:eastAsia="Times New Roman" w:hAnsi="Times New Roman" w:cs="Times New Roman"/>
          <w:color w:val="000000"/>
          <w:sz w:val="27"/>
          <w:szCs w:val="27"/>
        </w:rPr>
        <w:t> (Observer for Palestine) expressed his gratitude for the widespread support for the Palestinian people expressed at the meeting by representatives of Member States and experts from a wide range of institutions; indeed, it was support the Palestinian people had fully earned, by virtue of its courageous struggle and single-minded commitment to the exercise of its inalienable rights. The remarkable example of the West Bank village of Bil’in, the population of which held weekly demonstrations against the construction of the separation wall, attested to that spirit of resistance. Such acts of valour reinforced the hope that the Palestinian struggle would ultimately prevail in ending Israeli occupation and bringing about Israeli compliance with international resolutions that would provide the best foundation for a just and comprehensive peace in the Middle East.</w:t>
      </w:r>
    </w:p>
    <w:p w:rsidR="009407BA" w:rsidRPr="009407BA" w:rsidRDefault="009407BA" w:rsidP="009407B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9407BA">
        <w:rPr>
          <w:rFonts w:ascii="Times New Roman" w:eastAsia="Times New Roman" w:hAnsi="Times New Roman" w:cs="Times New Roman"/>
          <w:color w:val="000000"/>
          <w:sz w:val="27"/>
          <w:szCs w:val="27"/>
        </w:rPr>
        <w:t>129. </w:t>
      </w:r>
      <w:r w:rsidRPr="009407BA">
        <w:rPr>
          <w:rFonts w:ascii="Times New Roman" w:eastAsia="Times New Roman" w:hAnsi="Times New Roman" w:cs="Times New Roman"/>
          <w:b/>
          <w:bCs/>
          <w:color w:val="000000"/>
          <w:sz w:val="27"/>
          <w:szCs w:val="27"/>
        </w:rPr>
        <w:t>Mr. Khair</w:t>
      </w:r>
      <w:r w:rsidRPr="009407BA">
        <w:rPr>
          <w:rFonts w:ascii="Times New Roman" w:eastAsia="Times New Roman" w:hAnsi="Times New Roman" w:cs="Times New Roman"/>
          <w:color w:val="000000"/>
          <w:sz w:val="27"/>
          <w:szCs w:val="27"/>
        </w:rPr>
        <w:t> (Jordan), expressing his appreciation for the new perspectives on the experience of refugees that Ms. Atshan had shared in her presentation, said that he agreed with her ideas on the empowerment of refugees, as well as with Ms. Hijab’s approach to the need to empower non-governmental organizations (NGOs) in their refugee advocacy. It would be interesting to know whether either expert had any thoughts on the possibility of establishing partnerships between NGOs and United Nations bodies, particularly UNRWA, to work on empowering refugees, given that both were familiar with the experience of refugees on the ground.</w:t>
      </w:r>
    </w:p>
    <w:p w:rsidR="009407BA" w:rsidRPr="009407BA" w:rsidRDefault="009407BA" w:rsidP="009407B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9407BA">
        <w:rPr>
          <w:rFonts w:ascii="Times New Roman" w:eastAsia="Times New Roman" w:hAnsi="Times New Roman" w:cs="Times New Roman"/>
          <w:color w:val="000000"/>
          <w:sz w:val="27"/>
          <w:szCs w:val="27"/>
        </w:rPr>
        <w:t>130. </w:t>
      </w:r>
      <w:r w:rsidRPr="009407BA">
        <w:rPr>
          <w:rFonts w:ascii="Times New Roman" w:eastAsia="Times New Roman" w:hAnsi="Times New Roman" w:cs="Times New Roman"/>
          <w:b/>
          <w:bCs/>
          <w:color w:val="000000"/>
          <w:sz w:val="27"/>
          <w:szCs w:val="27"/>
        </w:rPr>
        <w:t>Ms. Hijab</w:t>
      </w:r>
      <w:r w:rsidRPr="009407BA">
        <w:rPr>
          <w:rFonts w:ascii="Times New Roman" w:eastAsia="Times New Roman" w:hAnsi="Times New Roman" w:cs="Times New Roman"/>
          <w:color w:val="000000"/>
          <w:sz w:val="27"/>
          <w:szCs w:val="27"/>
        </w:rPr>
        <w:t> (Institute for Palestine Studies), noting that the United Nations had traditionally held regional and international meetings that brought civil society and its own institutions together, said that she agreed that the different forms that a partnership between the United Nations and civil society might take should be explored further. For instance, civil society actors might directly support the work of various United Nations agencies, as in the case of the United States-based Friends of UNRWA Association.</w:t>
      </w:r>
    </w:p>
    <w:p w:rsidR="009407BA" w:rsidRPr="009407BA" w:rsidRDefault="009407BA" w:rsidP="009407B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9407BA">
        <w:rPr>
          <w:rFonts w:ascii="Times New Roman" w:eastAsia="Times New Roman" w:hAnsi="Times New Roman" w:cs="Times New Roman"/>
          <w:color w:val="000000"/>
          <w:sz w:val="27"/>
          <w:szCs w:val="27"/>
        </w:rPr>
        <w:lastRenderedPageBreak/>
        <w:t>131.131. </w:t>
      </w:r>
      <w:r w:rsidRPr="009407BA">
        <w:rPr>
          <w:rFonts w:ascii="Times New Roman" w:eastAsia="Times New Roman" w:hAnsi="Times New Roman" w:cs="Times New Roman"/>
          <w:b/>
          <w:bCs/>
          <w:color w:val="000000"/>
          <w:sz w:val="27"/>
          <w:szCs w:val="27"/>
        </w:rPr>
        <w:t>Ms. Akram</w:t>
      </w:r>
      <w:r w:rsidRPr="009407BA">
        <w:rPr>
          <w:rFonts w:ascii="Times New Roman" w:eastAsia="Times New Roman" w:hAnsi="Times New Roman" w:cs="Times New Roman"/>
          <w:color w:val="000000"/>
          <w:sz w:val="27"/>
          <w:szCs w:val="27"/>
        </w:rPr>
        <w:t> (Faculty of Law, Boston University) said that the considerable efforts made by the Kafr Bir’im and Iqrit villagers over the years, culminating in the petition filed before the United Nations Human Rights Council, had been made possible by the extraordinary partnership between Palestinian, Israeli and international lawyers. The outcome of the case was all the more shocking because the petitioners had appeared to have considerable support within the human rights machinery, only to find later that the petition would be defeated for political reasons; consequently, partnerships between United Nations human rights bodies and civil society would have to be developed in order to enable existing political barriers to be overcome.</w:t>
      </w:r>
    </w:p>
    <w:p w:rsidR="009407BA" w:rsidRPr="009407BA" w:rsidRDefault="009407BA" w:rsidP="009407B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9407BA">
        <w:rPr>
          <w:rFonts w:ascii="Times New Roman" w:eastAsia="Times New Roman" w:hAnsi="Times New Roman" w:cs="Times New Roman"/>
          <w:color w:val="000000"/>
          <w:sz w:val="27"/>
          <w:szCs w:val="27"/>
        </w:rPr>
        <w:t>132. </w:t>
      </w:r>
      <w:r w:rsidRPr="009407BA">
        <w:rPr>
          <w:rFonts w:ascii="Times New Roman" w:eastAsia="Times New Roman" w:hAnsi="Times New Roman" w:cs="Times New Roman"/>
          <w:b/>
          <w:bCs/>
          <w:color w:val="000000"/>
          <w:sz w:val="27"/>
          <w:szCs w:val="27"/>
        </w:rPr>
        <w:t>Ms. Atshan</w:t>
      </w:r>
      <w:r w:rsidRPr="009407BA">
        <w:rPr>
          <w:rFonts w:ascii="Times New Roman" w:eastAsia="Times New Roman" w:hAnsi="Times New Roman" w:cs="Times New Roman"/>
          <w:color w:val="000000"/>
          <w:sz w:val="27"/>
          <w:szCs w:val="27"/>
        </w:rPr>
        <w:t> (Birzeit University) said that the oppressors’ insistence on asserting themselves as the enemy in the minds of Palestinian children would eventually backfire, because their antagonism would ultimately motivate Palestinian children to become ambassadors for their cause. Palestine advocates must be both empowered and empowering if they truly wished to prevail; power was a perception, and those who truly believed in their mission need not fear a Government such as Israel. </w:t>
      </w:r>
      <w:r w:rsidRPr="009407BA">
        <w:rPr>
          <w:rFonts w:ascii="Times New Roman" w:eastAsia="Times New Roman" w:hAnsi="Times New Roman" w:cs="Times New Roman"/>
          <w:color w:val="000000"/>
          <w:sz w:val="27"/>
          <w:szCs w:val="27"/>
        </w:rPr>
        <w:br/>
      </w:r>
      <w:r w:rsidRPr="009407BA">
        <w:rPr>
          <w:rFonts w:ascii="Times New Roman" w:eastAsia="Times New Roman" w:hAnsi="Times New Roman" w:cs="Times New Roman"/>
          <w:color w:val="000000"/>
          <w:sz w:val="27"/>
          <w:szCs w:val="27"/>
        </w:rPr>
        <w:br/>
      </w:r>
      <w:r w:rsidRPr="009407BA">
        <w:rPr>
          <w:rFonts w:ascii="Times New Roman" w:eastAsia="Times New Roman" w:hAnsi="Times New Roman" w:cs="Times New Roman"/>
          <w:b/>
          <w:bCs/>
          <w:color w:val="000000"/>
          <w:sz w:val="27"/>
          <w:szCs w:val="27"/>
        </w:rPr>
        <w:t>Closing remarks by the Chairman of the Committee</w:t>
      </w:r>
      <w:r w:rsidRPr="009407BA">
        <w:rPr>
          <w:rFonts w:ascii="Times New Roman" w:eastAsia="Times New Roman" w:hAnsi="Times New Roman" w:cs="Times New Roman"/>
          <w:color w:val="000000"/>
          <w:sz w:val="27"/>
          <w:szCs w:val="27"/>
        </w:rPr>
        <w:br/>
      </w:r>
      <w:r w:rsidRPr="009407BA">
        <w:rPr>
          <w:rFonts w:ascii="Times New Roman" w:eastAsia="Times New Roman" w:hAnsi="Times New Roman" w:cs="Times New Roman"/>
          <w:color w:val="000000"/>
          <w:sz w:val="27"/>
          <w:szCs w:val="27"/>
        </w:rPr>
        <w:br/>
        <w:t>133. The Chairman said that despite the international community’s neglect of the main victims of the Nakba, namely, the Palestine refugees, their plight continued to weigh heavily on the collective conscience, given the difficulty of reconciling such conditions with the lofty humanitarian ideals to which States Members of the United Nations proclaimed their allegiance. Member States must, therefore, seek a workable and permanent solution in order to end the prolonged suffering of Palestine refugees, and recognize their inalienable right of return, lest the refugee issue become an intractable situation to be managed indefinitely through humanitarian and security efforts. The United Nations maintained the position that no sustainable peace would be achieved in the region without a just solution to the Palestine refugee question in accordance with General Assembly resolution 194 (III). The Committee would continue to raise awareness of the root cause of the Israeli-Palestinian conflict, namely, the occupation by Israel of the Palestinian Territory, which must be brought to an end, pursuant to the relevant Security Council resolutions and the Arab Peace Initiative, leading to the creation of a Palestinian State, with East Jerusalem as its capital, living side by side in peace and security with Israel. </w:t>
      </w:r>
      <w:r w:rsidRPr="009407BA">
        <w:rPr>
          <w:rFonts w:ascii="Times New Roman" w:eastAsia="Times New Roman" w:hAnsi="Times New Roman" w:cs="Times New Roman"/>
          <w:color w:val="000000"/>
          <w:sz w:val="27"/>
          <w:szCs w:val="27"/>
        </w:rPr>
        <w:br/>
      </w:r>
      <w:r w:rsidRPr="009407BA">
        <w:rPr>
          <w:rFonts w:ascii="Times New Roman" w:eastAsia="Times New Roman" w:hAnsi="Times New Roman" w:cs="Times New Roman"/>
          <w:color w:val="000000"/>
          <w:sz w:val="27"/>
          <w:szCs w:val="27"/>
        </w:rPr>
        <w:br/>
      </w:r>
      <w:r w:rsidRPr="009407BA">
        <w:rPr>
          <w:rFonts w:ascii="Times New Roman" w:eastAsia="Times New Roman" w:hAnsi="Times New Roman" w:cs="Times New Roman"/>
          <w:color w:val="000000"/>
          <w:sz w:val="27"/>
          <w:szCs w:val="27"/>
        </w:rPr>
        <w:br/>
      </w:r>
      <w:r w:rsidRPr="009407BA">
        <w:rPr>
          <w:rFonts w:ascii="Times New Roman" w:eastAsia="Times New Roman" w:hAnsi="Times New Roman" w:cs="Times New Roman"/>
          <w:color w:val="000000"/>
          <w:sz w:val="27"/>
          <w:szCs w:val="27"/>
        </w:rPr>
        <w:br/>
      </w:r>
      <w:r w:rsidRPr="009407BA">
        <w:rPr>
          <w:rFonts w:ascii="Times New Roman" w:eastAsia="Times New Roman" w:hAnsi="Times New Roman" w:cs="Times New Roman"/>
          <w:color w:val="000000"/>
          <w:sz w:val="20"/>
          <w:szCs w:val="20"/>
        </w:rPr>
        <w:t>This record is subject to correction. Corrections should be submitted in one of the working languages. They should be set forth in a memorandum and also incorporated in a copy of the record. They should be sent </w:t>
      </w:r>
      <w:r w:rsidRPr="009407BA">
        <w:rPr>
          <w:rFonts w:ascii="Times New Roman" w:eastAsia="Times New Roman" w:hAnsi="Times New Roman" w:cs="Times New Roman"/>
          <w:i/>
          <w:iCs/>
          <w:color w:val="000000"/>
          <w:sz w:val="20"/>
          <w:szCs w:val="20"/>
        </w:rPr>
        <w:t>within one week of the date of this document</w:t>
      </w:r>
      <w:r w:rsidRPr="009407BA">
        <w:rPr>
          <w:rFonts w:ascii="Times New Roman" w:eastAsia="Times New Roman" w:hAnsi="Times New Roman" w:cs="Times New Roman"/>
          <w:color w:val="000000"/>
          <w:sz w:val="20"/>
          <w:szCs w:val="20"/>
        </w:rPr>
        <w:t> to the Chief, Official Records Editing Section, room DC2-750, 2 United Nations Plaza.</w:t>
      </w:r>
    </w:p>
    <w:p w:rsidR="009407BA" w:rsidRPr="009407BA" w:rsidRDefault="009407BA" w:rsidP="009407B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9407BA">
        <w:rPr>
          <w:rFonts w:ascii="Times New Roman" w:eastAsia="Times New Roman" w:hAnsi="Times New Roman" w:cs="Times New Roman"/>
          <w:color w:val="000000"/>
          <w:sz w:val="20"/>
          <w:szCs w:val="20"/>
        </w:rPr>
        <w:lastRenderedPageBreak/>
        <w:t>Any corrections to the record of this meeting and of other meetings will be issued in a corrigendum. </w:t>
      </w:r>
    </w:p>
    <w:p w:rsidR="00965C12" w:rsidRPr="009407BA" w:rsidRDefault="00965C12" w:rsidP="009407BA">
      <w:bookmarkStart w:id="0" w:name="_GoBack"/>
      <w:bookmarkEnd w:id="0"/>
    </w:p>
    <w:sectPr w:rsidR="00965C12" w:rsidRPr="009407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C12"/>
    <w:rsid w:val="000D54F1"/>
    <w:rsid w:val="00112B9A"/>
    <w:rsid w:val="00605B13"/>
    <w:rsid w:val="007208AA"/>
    <w:rsid w:val="00757C99"/>
    <w:rsid w:val="008478E2"/>
    <w:rsid w:val="009407BA"/>
    <w:rsid w:val="00965C12"/>
    <w:rsid w:val="00B847B6"/>
    <w:rsid w:val="00E90A58"/>
    <w:rsid w:val="00E97F3A"/>
    <w:rsid w:val="00F45AA7"/>
    <w:rsid w:val="00F80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96E84"/>
  <w15:chartTrackingRefBased/>
  <w15:docId w15:val="{3AC9DDAF-FF2D-490B-A29D-A74D08054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45AA7"/>
  </w:style>
  <w:style w:type="paragraph" w:styleId="NormalWeb">
    <w:name w:val="Normal (Web)"/>
    <w:basedOn w:val="Normal"/>
    <w:uiPriority w:val="99"/>
    <w:semiHidden/>
    <w:unhideWhenUsed/>
    <w:rsid w:val="00F45A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12B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50352">
      <w:bodyDiv w:val="1"/>
      <w:marLeft w:val="0"/>
      <w:marRight w:val="0"/>
      <w:marTop w:val="0"/>
      <w:marBottom w:val="0"/>
      <w:divBdr>
        <w:top w:val="none" w:sz="0" w:space="0" w:color="auto"/>
        <w:left w:val="none" w:sz="0" w:space="0" w:color="auto"/>
        <w:bottom w:val="none" w:sz="0" w:space="0" w:color="auto"/>
        <w:right w:val="none" w:sz="0" w:space="0" w:color="auto"/>
      </w:divBdr>
    </w:div>
    <w:div w:id="84957046">
      <w:bodyDiv w:val="1"/>
      <w:marLeft w:val="0"/>
      <w:marRight w:val="0"/>
      <w:marTop w:val="0"/>
      <w:marBottom w:val="0"/>
      <w:divBdr>
        <w:top w:val="none" w:sz="0" w:space="0" w:color="auto"/>
        <w:left w:val="none" w:sz="0" w:space="0" w:color="auto"/>
        <w:bottom w:val="none" w:sz="0" w:space="0" w:color="auto"/>
        <w:right w:val="none" w:sz="0" w:space="0" w:color="auto"/>
      </w:divBdr>
    </w:div>
    <w:div w:id="276571629">
      <w:bodyDiv w:val="1"/>
      <w:marLeft w:val="0"/>
      <w:marRight w:val="0"/>
      <w:marTop w:val="0"/>
      <w:marBottom w:val="0"/>
      <w:divBdr>
        <w:top w:val="none" w:sz="0" w:space="0" w:color="auto"/>
        <w:left w:val="none" w:sz="0" w:space="0" w:color="auto"/>
        <w:bottom w:val="none" w:sz="0" w:space="0" w:color="auto"/>
        <w:right w:val="none" w:sz="0" w:space="0" w:color="auto"/>
      </w:divBdr>
    </w:div>
    <w:div w:id="731006658">
      <w:bodyDiv w:val="1"/>
      <w:marLeft w:val="0"/>
      <w:marRight w:val="0"/>
      <w:marTop w:val="0"/>
      <w:marBottom w:val="0"/>
      <w:divBdr>
        <w:top w:val="none" w:sz="0" w:space="0" w:color="auto"/>
        <w:left w:val="none" w:sz="0" w:space="0" w:color="auto"/>
        <w:bottom w:val="none" w:sz="0" w:space="0" w:color="auto"/>
        <w:right w:val="none" w:sz="0" w:space="0" w:color="auto"/>
      </w:divBdr>
    </w:div>
    <w:div w:id="1272660887">
      <w:bodyDiv w:val="1"/>
      <w:marLeft w:val="0"/>
      <w:marRight w:val="0"/>
      <w:marTop w:val="0"/>
      <w:marBottom w:val="0"/>
      <w:divBdr>
        <w:top w:val="none" w:sz="0" w:space="0" w:color="auto"/>
        <w:left w:val="none" w:sz="0" w:space="0" w:color="auto"/>
        <w:bottom w:val="none" w:sz="0" w:space="0" w:color="auto"/>
        <w:right w:val="none" w:sz="0" w:space="0" w:color="auto"/>
      </w:divBdr>
    </w:div>
    <w:div w:id="1631282836">
      <w:bodyDiv w:val="1"/>
      <w:marLeft w:val="0"/>
      <w:marRight w:val="0"/>
      <w:marTop w:val="0"/>
      <w:marBottom w:val="0"/>
      <w:divBdr>
        <w:top w:val="none" w:sz="0" w:space="0" w:color="auto"/>
        <w:left w:val="none" w:sz="0" w:space="0" w:color="auto"/>
        <w:bottom w:val="none" w:sz="0" w:space="0" w:color="auto"/>
        <w:right w:val="none" w:sz="0" w:space="0" w:color="auto"/>
      </w:divBdr>
      <w:divsChild>
        <w:div w:id="30617504">
          <w:marLeft w:val="0"/>
          <w:marRight w:val="0"/>
          <w:marTop w:val="0"/>
          <w:marBottom w:val="0"/>
          <w:divBdr>
            <w:top w:val="none" w:sz="0" w:space="0" w:color="auto"/>
            <w:left w:val="none" w:sz="0" w:space="0" w:color="auto"/>
            <w:bottom w:val="none" w:sz="0" w:space="0" w:color="auto"/>
            <w:right w:val="none" w:sz="0" w:space="0" w:color="auto"/>
          </w:divBdr>
        </w:div>
        <w:div w:id="353846846">
          <w:marLeft w:val="0"/>
          <w:marRight w:val="0"/>
          <w:marTop w:val="0"/>
          <w:marBottom w:val="0"/>
          <w:divBdr>
            <w:top w:val="none" w:sz="0" w:space="0" w:color="auto"/>
            <w:left w:val="none" w:sz="0" w:space="0" w:color="auto"/>
            <w:bottom w:val="none" w:sz="0" w:space="0" w:color="auto"/>
            <w:right w:val="none" w:sz="0" w:space="0" w:color="auto"/>
          </w:divBdr>
        </w:div>
        <w:div w:id="1703552648">
          <w:marLeft w:val="0"/>
          <w:marRight w:val="0"/>
          <w:marTop w:val="0"/>
          <w:marBottom w:val="0"/>
          <w:divBdr>
            <w:top w:val="none" w:sz="0" w:space="0" w:color="auto"/>
            <w:left w:val="none" w:sz="0" w:space="0" w:color="auto"/>
            <w:bottom w:val="none" w:sz="0" w:space="0" w:color="auto"/>
            <w:right w:val="none" w:sz="0" w:space="0" w:color="auto"/>
          </w:divBdr>
        </w:div>
        <w:div w:id="1419788714">
          <w:marLeft w:val="0"/>
          <w:marRight w:val="0"/>
          <w:marTop w:val="0"/>
          <w:marBottom w:val="0"/>
          <w:divBdr>
            <w:top w:val="none" w:sz="0" w:space="0" w:color="auto"/>
            <w:left w:val="none" w:sz="0" w:space="0" w:color="auto"/>
            <w:bottom w:val="none" w:sz="0" w:space="0" w:color="auto"/>
            <w:right w:val="none" w:sz="0" w:space="0" w:color="auto"/>
          </w:divBdr>
        </w:div>
        <w:div w:id="1012878503">
          <w:marLeft w:val="0"/>
          <w:marRight w:val="0"/>
          <w:marTop w:val="0"/>
          <w:marBottom w:val="0"/>
          <w:divBdr>
            <w:top w:val="none" w:sz="0" w:space="0" w:color="auto"/>
            <w:left w:val="none" w:sz="0" w:space="0" w:color="auto"/>
            <w:bottom w:val="none" w:sz="0" w:space="0" w:color="auto"/>
            <w:right w:val="none" w:sz="0" w:space="0" w:color="auto"/>
          </w:divBdr>
        </w:div>
        <w:div w:id="824902208">
          <w:marLeft w:val="0"/>
          <w:marRight w:val="0"/>
          <w:marTop w:val="0"/>
          <w:marBottom w:val="0"/>
          <w:divBdr>
            <w:top w:val="none" w:sz="0" w:space="0" w:color="auto"/>
            <w:left w:val="none" w:sz="0" w:space="0" w:color="auto"/>
            <w:bottom w:val="none" w:sz="0" w:space="0" w:color="auto"/>
            <w:right w:val="none" w:sz="0" w:space="0" w:color="auto"/>
          </w:divBdr>
        </w:div>
        <w:div w:id="1276518822">
          <w:marLeft w:val="0"/>
          <w:marRight w:val="0"/>
          <w:marTop w:val="0"/>
          <w:marBottom w:val="0"/>
          <w:divBdr>
            <w:top w:val="none" w:sz="0" w:space="0" w:color="auto"/>
            <w:left w:val="none" w:sz="0" w:space="0" w:color="auto"/>
            <w:bottom w:val="none" w:sz="0" w:space="0" w:color="auto"/>
            <w:right w:val="none" w:sz="0" w:space="0" w:color="auto"/>
          </w:divBdr>
        </w:div>
        <w:div w:id="2031567001">
          <w:marLeft w:val="0"/>
          <w:marRight w:val="0"/>
          <w:marTop w:val="0"/>
          <w:marBottom w:val="0"/>
          <w:divBdr>
            <w:top w:val="none" w:sz="0" w:space="0" w:color="auto"/>
            <w:left w:val="none" w:sz="0" w:space="0" w:color="auto"/>
            <w:bottom w:val="none" w:sz="0" w:space="0" w:color="auto"/>
            <w:right w:val="none" w:sz="0" w:space="0" w:color="auto"/>
          </w:divBdr>
        </w:div>
        <w:div w:id="1349016416">
          <w:marLeft w:val="0"/>
          <w:marRight w:val="0"/>
          <w:marTop w:val="0"/>
          <w:marBottom w:val="0"/>
          <w:divBdr>
            <w:top w:val="none" w:sz="0" w:space="0" w:color="auto"/>
            <w:left w:val="none" w:sz="0" w:space="0" w:color="auto"/>
            <w:bottom w:val="none" w:sz="0" w:space="0" w:color="auto"/>
            <w:right w:val="none" w:sz="0" w:space="0" w:color="auto"/>
          </w:divBdr>
        </w:div>
        <w:div w:id="337848403">
          <w:marLeft w:val="0"/>
          <w:marRight w:val="0"/>
          <w:marTop w:val="0"/>
          <w:marBottom w:val="0"/>
          <w:divBdr>
            <w:top w:val="none" w:sz="0" w:space="0" w:color="auto"/>
            <w:left w:val="none" w:sz="0" w:space="0" w:color="auto"/>
            <w:bottom w:val="none" w:sz="0" w:space="0" w:color="auto"/>
            <w:right w:val="none" w:sz="0" w:space="0" w:color="auto"/>
          </w:divBdr>
        </w:div>
        <w:div w:id="451171755">
          <w:marLeft w:val="0"/>
          <w:marRight w:val="0"/>
          <w:marTop w:val="0"/>
          <w:marBottom w:val="0"/>
          <w:divBdr>
            <w:top w:val="none" w:sz="0" w:space="0" w:color="auto"/>
            <w:left w:val="none" w:sz="0" w:space="0" w:color="auto"/>
            <w:bottom w:val="none" w:sz="0" w:space="0" w:color="auto"/>
            <w:right w:val="none" w:sz="0" w:space="0" w:color="auto"/>
          </w:divBdr>
        </w:div>
        <w:div w:id="803276988">
          <w:marLeft w:val="0"/>
          <w:marRight w:val="0"/>
          <w:marTop w:val="0"/>
          <w:marBottom w:val="0"/>
          <w:divBdr>
            <w:top w:val="none" w:sz="0" w:space="0" w:color="auto"/>
            <w:left w:val="none" w:sz="0" w:space="0" w:color="auto"/>
            <w:bottom w:val="none" w:sz="0" w:space="0" w:color="auto"/>
            <w:right w:val="none" w:sz="0" w:space="0" w:color="auto"/>
          </w:divBdr>
        </w:div>
        <w:div w:id="243687676">
          <w:marLeft w:val="0"/>
          <w:marRight w:val="0"/>
          <w:marTop w:val="0"/>
          <w:marBottom w:val="0"/>
          <w:divBdr>
            <w:top w:val="none" w:sz="0" w:space="0" w:color="auto"/>
            <w:left w:val="none" w:sz="0" w:space="0" w:color="auto"/>
            <w:bottom w:val="none" w:sz="0" w:space="0" w:color="auto"/>
            <w:right w:val="none" w:sz="0" w:space="0" w:color="auto"/>
          </w:divBdr>
        </w:div>
        <w:div w:id="1323923423">
          <w:marLeft w:val="0"/>
          <w:marRight w:val="0"/>
          <w:marTop w:val="0"/>
          <w:marBottom w:val="0"/>
          <w:divBdr>
            <w:top w:val="none" w:sz="0" w:space="0" w:color="auto"/>
            <w:left w:val="none" w:sz="0" w:space="0" w:color="auto"/>
            <w:bottom w:val="none" w:sz="0" w:space="0" w:color="auto"/>
            <w:right w:val="none" w:sz="0" w:space="0" w:color="auto"/>
          </w:divBdr>
        </w:div>
      </w:divsChild>
    </w:div>
    <w:div w:id="202297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5841</Words>
  <Characters>33298</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2017-02-28T20:41:00Z</dcterms:created>
  <dcterms:modified xsi:type="dcterms:W3CDTF">2017-02-28T20:41:00Z</dcterms:modified>
</cp:coreProperties>
</file>